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A63C" w14:textId="77777777" w:rsidR="002E28C1" w:rsidRDefault="00000000">
      <w:pPr>
        <w:jc w:val="right"/>
        <w:rPr>
          <w:rFonts w:ascii="Times New Roman" w:hAnsi="Times New Roman" w:cs="Times New Roman"/>
          <w:b/>
          <w:sz w:val="32"/>
          <w:szCs w:val="32"/>
        </w:rPr>
      </w:pPr>
      <w:r>
        <w:rPr>
          <w:rFonts w:ascii="Times New Roman" w:hAnsi="Times New Roman" w:cs="Times New Roman"/>
          <w:b/>
          <w:sz w:val="32"/>
          <w:szCs w:val="32"/>
        </w:rPr>
        <w:t>Triazole and Oxadiazole Derivatives as Antimicrobial Agents</w:t>
      </w:r>
    </w:p>
    <w:p w14:paraId="388ABE6E" w14:textId="77777777" w:rsidR="002E28C1" w:rsidRDefault="00000000">
      <w:pPr>
        <w:pStyle w:val="Heading1"/>
        <w:pBdr>
          <w:bottom w:val="single" w:sz="4" w:space="0" w:color="auto"/>
        </w:pBdr>
        <w:jc w:val="both"/>
        <w:rPr>
          <w:rFonts w:ascii="Times New Roman" w:hAnsi="Times New Roman" w:cs="Times New Roman"/>
          <w:i/>
          <w:iCs/>
          <w:color w:val="auto"/>
          <w:sz w:val="18"/>
          <w:szCs w:val="18"/>
        </w:rPr>
      </w:pPr>
      <w:r>
        <w:rPr>
          <w:rFonts w:ascii="Times New Roman" w:hAnsi="Times New Roman" w:cs="Times New Roman"/>
          <w:b/>
          <w:bCs/>
          <w:i/>
          <w:iCs/>
          <w:color w:val="auto"/>
          <w:sz w:val="18"/>
          <w:szCs w:val="18"/>
        </w:rPr>
        <w:t>Abstract</w:t>
      </w:r>
      <w:r>
        <w:rPr>
          <w:rFonts w:ascii="Times New Roman" w:hAnsi="Times New Roman" w:cs="Times New Roman"/>
          <w:i/>
          <w:iCs/>
          <w:color w:val="auto"/>
          <w:sz w:val="18"/>
          <w:szCs w:val="18"/>
          <w:lang w:val="en-US"/>
        </w:rPr>
        <w:t xml:space="preserve">: </w:t>
      </w:r>
      <w:r>
        <w:rPr>
          <w:rFonts w:ascii="Times New Roman" w:hAnsi="Times New Roman" w:cs="Times New Roman"/>
          <w:i/>
          <w:iCs/>
          <w:color w:val="auto"/>
          <w:sz w:val="18"/>
          <w:szCs w:val="18"/>
        </w:rPr>
        <w:t>The accelerating spread of antimicrobial resistance has intensified the search for novel small-molecule scaffolds that can deliver potent, broad-spectrum activity while retaining drug-like properties. Five-membered nitrogen/oxygen heterocycles—particularly triazoles (1,2,3- and 1,2,4-) and oxadiazoles (1,2,4- and 1,3,4-)—have emerged as privileged motifs in antimicrobial lead discovery. This short review summarizes the structural features, common synthetic approaches, structure–activity relationships (SAR), and representative antimicrobial profiles of triazole- and oxadiazole-based compounds including hybrid chemotypes that combine both rings to achieve synergistic effects. We highlight key substitution patterns, linker choices, and physicochemical trends associated with antibacterial and antifungal potency, and outline design principles to address resistance and optimize pharmacokinetics.</w:t>
      </w:r>
    </w:p>
    <w:p w14:paraId="3DB84818" w14:textId="77777777" w:rsidR="002E28C1" w:rsidRDefault="00000000">
      <w:pPr>
        <w:pBdr>
          <w:bottom w:val="single" w:sz="4" w:space="0" w:color="auto"/>
        </w:pBdr>
        <w:spacing w:line="360" w:lineRule="auto"/>
        <w:jc w:val="both"/>
        <w:rPr>
          <w:rFonts w:ascii="Times New Roman" w:hAnsi="Times New Roman" w:cs="Times New Roman"/>
          <w:i/>
          <w:iCs/>
          <w:sz w:val="18"/>
          <w:szCs w:val="18"/>
          <w:lang w:val="en-US"/>
        </w:rPr>
        <w:sectPr w:rsidR="002E28C1">
          <w:footerReference w:type="default" r:id="rId8"/>
          <w:type w:val="continuous"/>
          <w:pgSz w:w="11906" w:h="16838"/>
          <w:pgMar w:top="1440" w:right="1440" w:bottom="1440" w:left="1440" w:header="720" w:footer="720" w:gutter="0"/>
          <w:cols w:space="425"/>
          <w:docGrid w:linePitch="360"/>
        </w:sectPr>
      </w:pPr>
      <w:r>
        <w:rPr>
          <w:rFonts w:ascii="Times New Roman" w:hAnsi="Times New Roman" w:cs="Times New Roman"/>
          <w:b/>
          <w:bCs/>
          <w:i/>
          <w:iCs/>
          <w:sz w:val="18"/>
          <w:szCs w:val="18"/>
        </w:rPr>
        <w:t>Keywords:</w:t>
      </w:r>
      <w:r>
        <w:rPr>
          <w:rFonts w:ascii="Times New Roman" w:hAnsi="Times New Roman" w:cs="Times New Roman"/>
          <w:i/>
          <w:iCs/>
          <w:sz w:val="18"/>
          <w:szCs w:val="18"/>
        </w:rPr>
        <w:t xml:space="preserve"> Triazole; Oxadiazole; Antimicrobial; SAR; Heterocycles; Drug design; </w:t>
      </w:r>
      <w:proofErr w:type="spellStart"/>
      <w:r>
        <w:rPr>
          <w:rFonts w:ascii="Times New Roman" w:hAnsi="Times New Roman" w:cs="Times New Roman"/>
          <w:i/>
          <w:iCs/>
          <w:sz w:val="18"/>
          <w:szCs w:val="18"/>
        </w:rPr>
        <w:t>Hybri</w:t>
      </w:r>
      <w:proofErr w:type="spellEnd"/>
      <w:r>
        <w:rPr>
          <w:rFonts w:ascii="Times New Roman" w:hAnsi="Times New Roman" w:cs="Times New Roman"/>
          <w:i/>
          <w:iCs/>
          <w:sz w:val="18"/>
          <w:szCs w:val="18"/>
          <w:lang w:val="en-US"/>
        </w:rPr>
        <w:t>d</w:t>
      </w:r>
    </w:p>
    <w:p w14:paraId="61B29B28" w14:textId="77777777" w:rsidR="002E28C1" w:rsidRDefault="002E28C1"/>
    <w:p w14:paraId="1BF73097" w14:textId="77777777" w:rsidR="002E28C1" w:rsidRDefault="002E28C1"/>
    <w:p w14:paraId="750FC946" w14:textId="77777777" w:rsidR="002E28C1" w:rsidRDefault="002E28C1">
      <w:pPr>
        <w:sectPr w:rsidR="002E28C1">
          <w:type w:val="continuous"/>
          <w:pgSz w:w="11906" w:h="16838"/>
          <w:pgMar w:top="1440" w:right="1440" w:bottom="1440" w:left="1440" w:header="720" w:footer="720" w:gutter="0"/>
          <w:cols w:num="2" w:space="720" w:equalWidth="0">
            <w:col w:w="4300" w:space="425"/>
            <w:col w:w="4300"/>
          </w:cols>
          <w:docGrid w:linePitch="360"/>
        </w:sectPr>
      </w:pPr>
    </w:p>
    <w:p w14:paraId="79A97A03" w14:textId="77777777" w:rsidR="002E28C1" w:rsidRDefault="00000000">
      <w:pPr>
        <w:pStyle w:val="Heading1"/>
        <w:numPr>
          <w:ilvl w:val="0"/>
          <w:numId w:val="1"/>
        </w:numPr>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Introduction</w:t>
      </w:r>
      <w:r>
        <w:rPr>
          <w:rFonts w:ascii="Times New Roman" w:hAnsi="Times New Roman" w:cs="Times New Roman"/>
          <w:b/>
          <w:bCs/>
          <w:color w:val="auto"/>
          <w:sz w:val="24"/>
          <w:szCs w:val="24"/>
          <w:lang w:val="en-US"/>
        </w:rPr>
        <w:t>:</w:t>
      </w:r>
    </w:p>
    <w:p w14:paraId="75BAC165" w14:textId="77777777" w:rsidR="002E28C1" w:rsidRDefault="00000000">
      <w:pPr>
        <w:pStyle w:val="BodyText"/>
        <w:spacing w:line="360" w:lineRule="auto"/>
        <w:jc w:val="both"/>
        <w:rPr>
          <w:rFonts w:ascii="Times New Roman" w:hAnsi="Times New Roman" w:cs="Times New Roman"/>
        </w:rPr>
      </w:pPr>
      <w:r>
        <w:rPr>
          <w:rFonts w:ascii="Times New Roman" w:hAnsi="Times New Roman" w:cs="Times New Roman"/>
        </w:rPr>
        <w:t xml:space="preserve">The rapid emergence of antimicrobial resistance underscores the need for novel chemotypes. Triazole (1,2,3- and 1,2,4-) and oxadiazole (1,3,4- and 1,2,4-) rings have proven valuable in developing agents with high lipophilicity, hydrogen bonding, and </w:t>
      </w:r>
      <w:proofErr w:type="spellStart"/>
      <w:r>
        <w:rPr>
          <w:rFonts w:ascii="Times New Roman" w:hAnsi="Times New Roman" w:cs="Times New Roman"/>
        </w:rPr>
        <w:t>bioisosteric</w:t>
      </w:r>
      <w:proofErr w:type="spellEnd"/>
      <w:r>
        <w:rPr>
          <w:rFonts w:ascii="Times New Roman" w:hAnsi="Times New Roman" w:cs="Times New Roman"/>
        </w:rPr>
        <w:t xml:space="preserve"> properties. Hybridization of these two heterocycles provides synergistic effects – enhanced enzyme affinity, improved physicochemical stability, and broad-spectrum antibacterial and antifungal profiles. Hybridization strategies that join triazoles to oxadiazoles or to other privileged pharmacophores (quinolones, coumarins, benzimidazoles, and metal-binding.</w:t>
      </w:r>
    </w:p>
    <w:p w14:paraId="189A26B8" w14:textId="77777777" w:rsidR="002E28C1" w:rsidRDefault="00000000">
      <w:pPr>
        <w:pStyle w:val="BodyText"/>
        <w:spacing w:line="360" w:lineRule="auto"/>
        <w:jc w:val="both"/>
        <w:rPr>
          <w:rFonts w:ascii="Times New Roman" w:hAnsi="Times New Roman" w:cs="Times New Roman"/>
        </w:rPr>
      </w:pPr>
      <w:r>
        <w:rPr>
          <w:rFonts w:ascii="Times New Roman" w:hAnsi="Times New Roman" w:cs="Times New Roman"/>
        </w:rPr>
        <w:t xml:space="preserve"> Triazoles and oxadiazoles are archetypal five-membered rings that frequently appear </w:t>
      </w:r>
      <w:r>
        <w:rPr>
          <w:rFonts w:ascii="Times New Roman" w:hAnsi="Times New Roman" w:cs="Times New Roman"/>
        </w:rPr>
        <w:t>in anti-infective agents. Triazoles are present in clinically used antifungals (e.g., fluconazole, voriconazole) through inhibition of fungal CYP51 (14α-demethylase), while oxadiazoles have delivered broad antimicrobial hits through interactions with essential bacterial enzymes and cell-envelope processes. Hybridization strategies that join triazoles to oxadiazoles or to other privileged pharmacophores (quinolones, coumarins, benzimidazoles, and metal-binding heads) have yielded series with low MIC values against ESKAPE pathogens and pathogenic fungi</w:t>
      </w:r>
    </w:p>
    <w:p w14:paraId="6CCC3164" w14:textId="77777777" w:rsidR="002E28C1" w:rsidRDefault="00000000">
      <w:pPr>
        <w:spacing w:line="360" w:lineRule="auto"/>
        <w:jc w:val="both"/>
        <w:rPr>
          <w:rFonts w:ascii="Times New Roman" w:hAnsi="Times New Roman" w:cs="Times New Roman"/>
        </w:rPr>
      </w:pPr>
      <w:r>
        <w:rPr>
          <w:rFonts w:ascii="Times New Roman" w:hAnsi="Times New Roman" w:cs="Times New Roman"/>
        </w:rPr>
        <w:object w:dxaOrig="4667" w:dyaOrig="1577" w14:anchorId="6FC29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35pt;height:78.75pt" o:ole="">
            <v:imagedata r:id="rId9" o:title=""/>
          </v:shape>
          <o:OLEObject Type="Embed" ProgID="ChemDraw.Document.6.0" ShapeID="_x0000_i1025" DrawAspect="Content" ObjectID="_1844342250" r:id="rId10"/>
        </w:object>
      </w:r>
    </w:p>
    <w:p w14:paraId="708FAD48" w14:textId="77777777" w:rsidR="002E28C1" w:rsidRDefault="002E28C1">
      <w:pPr>
        <w:pStyle w:val="Heading1"/>
        <w:numPr>
          <w:ilvl w:val="0"/>
          <w:numId w:val="1"/>
        </w:numPr>
        <w:spacing w:line="360" w:lineRule="auto"/>
        <w:jc w:val="both"/>
        <w:rPr>
          <w:rFonts w:ascii="Times New Roman" w:eastAsia="MS Gothic" w:hAnsi="Times New Roman" w:cs="Times New Roman"/>
          <w:b/>
          <w:bCs/>
          <w:color w:val="365F91"/>
          <w:sz w:val="24"/>
          <w:szCs w:val="24"/>
        </w:rPr>
        <w:sectPr w:rsidR="002E28C1">
          <w:type w:val="continuous"/>
          <w:pgSz w:w="11906" w:h="16838"/>
          <w:pgMar w:top="1440" w:right="1440" w:bottom="1440" w:left="1440" w:header="720" w:footer="720" w:gutter="0"/>
          <w:cols w:num="2" w:space="720" w:equalWidth="0">
            <w:col w:w="4300" w:space="425"/>
            <w:col w:w="4300"/>
          </w:cols>
          <w:docGrid w:linePitch="360"/>
        </w:sectPr>
      </w:pPr>
    </w:p>
    <w:p w14:paraId="52F788FC" w14:textId="77777777" w:rsidR="002E28C1" w:rsidRDefault="002E28C1">
      <w:pPr>
        <w:pStyle w:val="Heading1"/>
        <w:spacing w:line="360" w:lineRule="auto"/>
        <w:ind w:left="360"/>
        <w:jc w:val="both"/>
        <w:rPr>
          <w:rFonts w:ascii="Times New Roman" w:eastAsia="MS Gothic" w:hAnsi="Times New Roman" w:cs="Times New Roman"/>
          <w:b/>
          <w:bCs/>
          <w:color w:val="auto"/>
          <w:sz w:val="24"/>
          <w:szCs w:val="24"/>
        </w:rPr>
      </w:pPr>
    </w:p>
    <w:p w14:paraId="7D4EFFB0" w14:textId="77777777" w:rsidR="002E28C1" w:rsidRDefault="00000000">
      <w:pPr>
        <w:pStyle w:val="Heading1"/>
        <w:numPr>
          <w:ilvl w:val="0"/>
          <w:numId w:val="1"/>
        </w:numPr>
        <w:spacing w:line="360" w:lineRule="auto"/>
        <w:jc w:val="both"/>
        <w:rPr>
          <w:rFonts w:ascii="Times New Roman" w:eastAsia="MS Gothic" w:hAnsi="Times New Roman" w:cs="Times New Roman"/>
          <w:b/>
          <w:bCs/>
          <w:color w:val="auto"/>
          <w:sz w:val="24"/>
          <w:szCs w:val="24"/>
        </w:rPr>
      </w:pPr>
      <w:r>
        <w:rPr>
          <w:rFonts w:ascii="Times New Roman" w:eastAsia="MS Gothic" w:hAnsi="Times New Roman" w:cs="Times New Roman"/>
          <w:b/>
          <w:bCs/>
          <w:color w:val="auto"/>
          <w:sz w:val="24"/>
          <w:szCs w:val="24"/>
        </w:rPr>
        <w:t>Structures of Triazole and Oxadiazole</w:t>
      </w:r>
      <w:r>
        <w:rPr>
          <w:rFonts w:ascii="Times New Roman" w:eastAsia="MS Gothic" w:hAnsi="Times New Roman" w:cs="Times New Roman"/>
          <w:b/>
          <w:bCs/>
          <w:color w:val="auto"/>
          <w:sz w:val="24"/>
          <w:szCs w:val="24"/>
          <w:lang w:val="en-US"/>
        </w:rPr>
        <w:t>:</w:t>
      </w:r>
    </w:p>
    <w:p w14:paraId="5AB40277" w14:textId="77777777" w:rsidR="002E28C1" w:rsidRDefault="00000000">
      <w:pPr>
        <w:spacing w:line="360" w:lineRule="auto"/>
        <w:jc w:val="both"/>
        <w:rPr>
          <w:rFonts w:ascii="Times New Roman" w:eastAsia="MS Mincho" w:hAnsi="Times New Roman" w:cs="Times New Roman"/>
          <w:lang w:val="en-US"/>
        </w:rPr>
      </w:pPr>
      <w:r>
        <w:rPr>
          <w:rFonts w:ascii="Times New Roman" w:eastAsia="MS Mincho" w:hAnsi="Times New Roman" w:cs="Times New Roman"/>
        </w:rPr>
        <w:t xml:space="preserve">Triazoles exist mainly as 1,2,3- and 1,2,4-isomers. The three ring </w:t>
      </w:r>
      <w:proofErr w:type="spellStart"/>
      <w:r>
        <w:rPr>
          <w:rFonts w:ascii="Times New Roman" w:eastAsia="MS Mincho" w:hAnsi="Times New Roman" w:cs="Times New Roman"/>
        </w:rPr>
        <w:t>nitrogens</w:t>
      </w:r>
      <w:proofErr w:type="spellEnd"/>
      <w:r>
        <w:rPr>
          <w:rFonts w:ascii="Times New Roman" w:eastAsia="MS Mincho" w:hAnsi="Times New Roman" w:cs="Times New Roman"/>
        </w:rPr>
        <w:t xml:space="preserve"> provide a balance of π-density and H-bonding capacity, enabling coordination/anchoring in enzyme pockets. Oxadiazoles exist as 1,2,4- and </w:t>
      </w:r>
      <w:r>
        <w:rPr>
          <w:rFonts w:ascii="Times New Roman" w:eastAsia="MS Mincho" w:hAnsi="Times New Roman" w:cs="Times New Roman"/>
        </w:rPr>
        <w:t xml:space="preserve">1,3,4-isomers; the ring oxygen and adjacent </w:t>
      </w:r>
      <w:proofErr w:type="spellStart"/>
      <w:r>
        <w:rPr>
          <w:rFonts w:ascii="Times New Roman" w:eastAsia="MS Mincho" w:hAnsi="Times New Roman" w:cs="Times New Roman"/>
        </w:rPr>
        <w:t>nitrogens</w:t>
      </w:r>
      <w:proofErr w:type="spellEnd"/>
      <w:r>
        <w:rPr>
          <w:rFonts w:ascii="Times New Roman" w:eastAsia="MS Mincho" w:hAnsi="Times New Roman" w:cs="Times New Roman"/>
        </w:rPr>
        <w:t xml:space="preserve"> impart strong dipoles and act as hydrogen-bond acceptors. These heteroatoms support key interactions (bidentate contacts, halogen-bond alignment) and modulate lipophilicity and </w:t>
      </w:r>
      <w:proofErr w:type="spellStart"/>
      <w:r>
        <w:rPr>
          <w:rFonts w:ascii="Times New Roman" w:eastAsia="MS Mincho" w:hAnsi="Times New Roman" w:cs="Times New Roman"/>
        </w:rPr>
        <w:t>pKa</w:t>
      </w:r>
      <w:proofErr w:type="spellEnd"/>
      <w:r>
        <w:rPr>
          <w:rFonts w:ascii="Times New Roman" w:eastAsia="MS Mincho" w:hAnsi="Times New Roman" w:cs="Times New Roman"/>
        </w:rPr>
        <w:t xml:space="preserve"> when embedded in larger frameworks</w:t>
      </w:r>
      <w:r>
        <w:rPr>
          <w:rFonts w:ascii="Times New Roman" w:eastAsia="MS Mincho" w:hAnsi="Times New Roman" w:cs="Times New Roman"/>
          <w:lang w:val="en-US"/>
        </w:rPr>
        <w:t>.</w:t>
      </w:r>
    </w:p>
    <w:p w14:paraId="46CF6F10" w14:textId="77777777" w:rsidR="002E28C1" w:rsidRDefault="002E28C1">
      <w:pPr>
        <w:spacing w:line="360" w:lineRule="auto"/>
        <w:jc w:val="both"/>
        <w:rPr>
          <w:rFonts w:ascii="Times New Roman" w:eastAsia="MS Mincho" w:hAnsi="Times New Roman" w:cs="Times New Roman"/>
          <w:lang w:val="en-US"/>
        </w:rPr>
      </w:pPr>
    </w:p>
    <w:p w14:paraId="1EE49EDE" w14:textId="77777777" w:rsidR="002E28C1" w:rsidRDefault="002E28C1">
      <w:pPr>
        <w:spacing w:line="360" w:lineRule="auto"/>
        <w:jc w:val="both"/>
        <w:rPr>
          <w:rFonts w:ascii="Times New Roman" w:eastAsia="MS Mincho" w:hAnsi="Times New Roman" w:cs="Times New Roman"/>
          <w:lang w:val="en-US"/>
        </w:rPr>
        <w:sectPr w:rsidR="002E28C1">
          <w:type w:val="continuous"/>
          <w:pgSz w:w="11906" w:h="16838"/>
          <w:pgMar w:top="1440" w:right="1440" w:bottom="1440" w:left="1440" w:header="720" w:footer="720" w:gutter="0"/>
          <w:cols w:num="2" w:space="720" w:equalWidth="0">
            <w:col w:w="4300" w:space="425"/>
            <w:col w:w="4300"/>
          </w:cols>
          <w:docGrid w:linePitch="360"/>
        </w:sectPr>
      </w:pPr>
    </w:p>
    <w:p w14:paraId="43AF6D43" w14:textId="77777777" w:rsidR="002E28C1" w:rsidRDefault="002E28C1">
      <w:pPr>
        <w:spacing w:line="360" w:lineRule="auto"/>
        <w:jc w:val="both"/>
        <w:rPr>
          <w:rFonts w:ascii="Times New Roman" w:hAnsi="Times New Roman" w:cs="Times New Roman"/>
        </w:rPr>
      </w:pPr>
    </w:p>
    <w:p w14:paraId="3BFF692C" w14:textId="77777777" w:rsidR="002E28C1" w:rsidRDefault="00000000">
      <w:pPr>
        <w:spacing w:line="360" w:lineRule="auto"/>
        <w:jc w:val="both"/>
        <w:rPr>
          <w:rFonts w:ascii="Times New Roman" w:hAnsi="Times New Roman" w:cs="Times New Roman"/>
        </w:rPr>
      </w:pPr>
      <w:r>
        <w:rPr>
          <w:rFonts w:ascii="Times New Roman" w:hAnsi="Times New Roman" w:cs="Times New Roman"/>
        </w:rPr>
        <w:object w:dxaOrig="576" w:dyaOrig="660" w14:anchorId="1678FA28">
          <v:shape id="_x0000_i1026" type="#_x0000_t75" style="width:28.5pt;height:33pt" o:ole="">
            <v:imagedata r:id="rId11" o:title=""/>
          </v:shape>
          <o:OLEObject Type="Embed" ProgID="ChemDraw.Document.6.0" ShapeID="_x0000_i1026" DrawAspect="Content" ObjectID="_1844342251" r:id="rId12"/>
        </w:object>
      </w:r>
      <w:r>
        <w:rPr>
          <w:rFonts w:ascii="Times New Roman" w:hAnsi="Times New Roman" w:cs="Times New Roman"/>
        </w:rPr>
        <w:object w:dxaOrig="4131" w:dyaOrig="2556" w14:anchorId="3A2182CF">
          <v:shape id="_x0000_i1027" type="#_x0000_t75" style="width:206.35pt;height:127.55pt" o:ole="">
            <v:imagedata r:id="rId13" o:title=""/>
          </v:shape>
          <o:OLEObject Type="Embed" ProgID="ChemDraw.Document.6.0" ShapeID="_x0000_i1027" DrawAspect="Content" ObjectID="_1844342252" r:id="rId14"/>
        </w:object>
      </w:r>
    </w:p>
    <w:p w14:paraId="5072A1E9" w14:textId="77777777" w:rsidR="002E28C1" w:rsidRDefault="00000000">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b/>
          <w:bCs/>
        </w:rPr>
        <w:t>Synthetic strategies</w:t>
      </w:r>
      <w:r>
        <w:rPr>
          <w:rFonts w:ascii="Times New Roman" w:hAnsi="Times New Roman" w:cs="Times New Roman"/>
          <w:b/>
          <w:bCs/>
          <w:lang w:val="en-US"/>
        </w:rPr>
        <w:t>:</w:t>
      </w:r>
    </w:p>
    <w:p w14:paraId="58BA5B2F" w14:textId="77777777" w:rsidR="002E28C1" w:rsidRDefault="00000000">
      <w:pPr>
        <w:pStyle w:val="ListParagraph"/>
        <w:spacing w:line="360" w:lineRule="auto"/>
        <w:ind w:left="0"/>
        <w:jc w:val="both"/>
        <w:rPr>
          <w:rFonts w:ascii="Times New Roman" w:hAnsi="Times New Roman" w:cs="Times New Roman"/>
        </w:rPr>
      </w:pPr>
      <w:r>
        <w:rPr>
          <w:rFonts w:ascii="Times New Roman" w:hAnsi="Times New Roman" w:cs="Times New Roman"/>
          <w:lang w:val="en-US"/>
        </w:rPr>
        <w:t>T</w:t>
      </w:r>
      <w:r>
        <w:rPr>
          <w:rFonts w:ascii="Times New Roman" w:hAnsi="Times New Roman" w:cs="Times New Roman"/>
        </w:rPr>
        <w:t>he 1,2,3-triazole ring has become a highly attractive structural motif in medicinal chemistry due to its stability, ability to participate in hydrogen bonding, and compatibility with a wide range of functional groups. These features have made triazole derivatives valuable scaffolds for the development of new antimicrobial agents. Among the different synthetic approaches available, the copper(I)-</w:t>
      </w:r>
      <w:proofErr w:type="spellStart"/>
      <w:r>
        <w:rPr>
          <w:rFonts w:ascii="Times New Roman" w:hAnsi="Times New Roman" w:cs="Times New Roman"/>
        </w:rPr>
        <w:t>catalyzed</w:t>
      </w:r>
      <w:proofErr w:type="spellEnd"/>
      <w:r>
        <w:rPr>
          <w:rFonts w:ascii="Times New Roman" w:hAnsi="Times New Roman" w:cs="Times New Roman"/>
        </w:rPr>
        <w:t xml:space="preserve"> </w:t>
      </w:r>
      <w:proofErr w:type="spellStart"/>
      <w:r>
        <w:rPr>
          <w:rFonts w:ascii="Times New Roman" w:hAnsi="Times New Roman" w:cs="Times New Roman"/>
        </w:rPr>
        <w:t>azide</w:t>
      </w:r>
      <w:proofErr w:type="spellEnd"/>
      <w:r>
        <w:rPr>
          <w:rFonts w:ascii="Times New Roman" w:hAnsi="Times New Roman" w:cs="Times New Roman"/>
        </w:rPr>
        <w:t>–alkyne cycloaddition (</w:t>
      </w:r>
      <w:proofErr w:type="spellStart"/>
      <w:r>
        <w:rPr>
          <w:rFonts w:ascii="Times New Roman" w:hAnsi="Times New Roman" w:cs="Times New Roman"/>
        </w:rPr>
        <w:t>CuAAC</w:t>
      </w:r>
      <w:proofErr w:type="spellEnd"/>
      <w:r>
        <w:rPr>
          <w:rFonts w:ascii="Times New Roman" w:hAnsi="Times New Roman" w:cs="Times New Roman"/>
        </w:rPr>
        <w:t xml:space="preserve">) reaction—popularly known as “click chemistry”—has emerged as </w:t>
      </w:r>
      <w:proofErr w:type="spellStart"/>
      <w:r>
        <w:rPr>
          <w:rFonts w:ascii="Times New Roman" w:hAnsi="Times New Roman" w:cs="Times New Roman"/>
        </w:rPr>
        <w:t>themost</w:t>
      </w:r>
      <w:proofErr w:type="spellEnd"/>
      <w:r>
        <w:rPr>
          <w:rFonts w:ascii="Times New Roman" w:hAnsi="Times New Roman" w:cs="Times New Roman"/>
        </w:rPr>
        <w:t xml:space="preserve"> efficient route for constructing 1,2,3-triazole frameworks.</w:t>
      </w:r>
    </w:p>
    <w:p w14:paraId="0048F75D" w14:textId="77777777" w:rsidR="002E28C1" w:rsidRDefault="00000000">
      <w:pPr>
        <w:pStyle w:val="NormalWeb"/>
        <w:spacing w:line="360" w:lineRule="auto"/>
        <w:jc w:val="both"/>
      </w:pPr>
      <w:r>
        <w:t xml:space="preserve">In a typical </w:t>
      </w:r>
      <w:proofErr w:type="spellStart"/>
      <w:r>
        <w:t>CuAAC</w:t>
      </w:r>
      <w:proofErr w:type="spellEnd"/>
      <w:r>
        <w:t xml:space="preserve"> strategy, an organic </w:t>
      </w:r>
      <w:proofErr w:type="spellStart"/>
      <w:r>
        <w:t>azide</w:t>
      </w:r>
      <w:proofErr w:type="spellEnd"/>
      <w:r>
        <w:t xml:space="preserve"> is reacted with a terminal alkyne in the presence of a Cu(I) catalyst, producing the 1,4-disubstituted 1,2,3-triazole </w:t>
      </w:r>
      <w:proofErr w:type="spellStart"/>
      <w:r>
        <w:t>regioisomer</w:t>
      </w:r>
      <w:proofErr w:type="spellEnd"/>
      <w:r>
        <w:t xml:space="preserve"> with excellent yields and functional group tolerance. This method is favored because it proceeds under mild conditions, avoids harsh reagents, and reliably affords high structural purity. It also allows diverse substituents to be introduced on either side of the triazole ring, enabling rapid preparation of libraries of analogues for biological </w:t>
      </w:r>
      <w:proofErr w:type="spellStart"/>
      <w:proofErr w:type="gramStart"/>
      <w:r>
        <w:t>screening.Several</w:t>
      </w:r>
      <w:proofErr w:type="spellEnd"/>
      <w:proofErr w:type="gramEnd"/>
      <w:r>
        <w:t xml:space="preserve"> studies have shown that incorporating the 1,2,3-triazole moiety into heterocyclic backbones, aromatic pharmacophores, or hybrid molecules can significantly enhance antimicrobial activity. The triazole ring can act as a </w:t>
      </w:r>
      <w:proofErr w:type="spellStart"/>
      <w:r>
        <w:t>bioisostere</w:t>
      </w:r>
      <w:proofErr w:type="spellEnd"/>
      <w:r>
        <w:t xml:space="preserve">, improve molecular rigidity, and promote favorable interactions within microbial enzyme active sites. As a result, researchers have linked triazoles with quinolines, benzothiazoles, oxadiazoles, and various aromatic aldehydes to generate </w:t>
      </w:r>
      <w:r>
        <w:lastRenderedPageBreak/>
        <w:t>hybrids with broad-spectrum antibacterial and antifungal profiles.</w:t>
      </w:r>
    </w:p>
    <w:p w14:paraId="0A4663BC" w14:textId="77777777" w:rsidR="002E28C1" w:rsidRDefault="00000000">
      <w:pPr>
        <w:spacing w:line="360" w:lineRule="auto"/>
        <w:jc w:val="both"/>
        <w:rPr>
          <w:rFonts w:ascii="Times New Roman" w:hAnsi="Times New Roman" w:cs="Times New Roman"/>
        </w:rPr>
      </w:pPr>
      <w:r>
        <w:rPr>
          <w:rFonts w:ascii="Times New Roman" w:hAnsi="Times New Roman" w:cs="Times New Roman"/>
        </w:rPr>
        <w:t xml:space="preserve">Overall, the synthesis of triazole derivatives through click chemistry represents a powerful and versatile strategy for the development of new antimicrobial candidates. The ease of tailoring structural features combined with the pharmacological relevance of the triazole nucleus has made these compounds an important focus in contemporary antimicrobial drug </w:t>
      </w:r>
    </w:p>
    <w:p w14:paraId="496CD892" w14:textId="77777777" w:rsidR="002E28C1" w:rsidRDefault="00000000">
      <w:pPr>
        <w:pStyle w:val="NormalWeb"/>
        <w:spacing w:line="360" w:lineRule="auto"/>
        <w:jc w:val="both"/>
      </w:pPr>
      <w:r>
        <w:t>3</w:t>
      </w:r>
      <w:r>
        <w:rPr>
          <w:b/>
          <w:bCs/>
        </w:rPr>
        <w:t>.1: CLICK SYNTHESIS (</w:t>
      </w:r>
      <w:proofErr w:type="spellStart"/>
      <w:r>
        <w:rPr>
          <w:b/>
          <w:bCs/>
        </w:rPr>
        <w:t>CuAAC</w:t>
      </w:r>
      <w:proofErr w:type="spellEnd"/>
      <w:proofErr w:type="gramStart"/>
      <w:r>
        <w:rPr>
          <w:b/>
          <w:bCs/>
        </w:rPr>
        <w:t>)</w:t>
      </w:r>
      <w:r>
        <w:rPr>
          <w:b/>
          <w:bCs/>
          <w:color w:val="0000FF"/>
        </w:rPr>
        <w:t xml:space="preserve"> </w:t>
      </w:r>
      <w:r>
        <w:rPr>
          <w:b/>
          <w:bCs/>
        </w:rPr>
        <w:t>:</w:t>
      </w:r>
      <w:proofErr w:type="gramEnd"/>
      <w:r>
        <w:rPr>
          <w:b/>
          <w:bCs/>
        </w:rPr>
        <w:t xml:space="preserve">                             |</w:t>
      </w:r>
      <w:proofErr w:type="spellStart"/>
      <w:r>
        <w:rPr>
          <w:b/>
          <w:bCs/>
          <w:i/>
          <w:iCs/>
        </w:rPr>
        <w:t>Azide</w:t>
      </w:r>
      <w:proofErr w:type="spellEnd"/>
      <w:r>
        <w:rPr>
          <w:b/>
          <w:bCs/>
          <w:i/>
          <w:iCs/>
        </w:rPr>
        <w:t xml:space="preserve"> + Alkyne --Cu(I)--&gt; 1,4-Disubstituted </w:t>
      </w:r>
      <w:r>
        <w:rPr>
          <w:i/>
          <w:iCs/>
        </w:rPr>
        <w:t xml:space="preserve">  </w:t>
      </w:r>
      <w:r>
        <w:t xml:space="preserve">  </w:t>
      </w:r>
    </w:p>
    <w:p w14:paraId="6FBD46DF" w14:textId="77777777" w:rsidR="002E28C1" w:rsidRDefault="00000000">
      <w:pPr>
        <w:spacing w:line="360" w:lineRule="auto"/>
        <w:jc w:val="both"/>
        <w:rPr>
          <w:rFonts w:ascii="Times New Roman" w:hAnsi="Times New Roman" w:cs="Times New Roman"/>
        </w:rPr>
      </w:pPr>
      <w:r>
        <w:rPr>
          <w:rFonts w:ascii="Times New Roman" w:hAnsi="Times New Roman" w:cs="Times New Roman"/>
        </w:rPr>
        <w:object w:dxaOrig="4332" w:dyaOrig="2632" w14:anchorId="32A41478">
          <v:shape id="_x0000_i1028" type="#_x0000_t75" alt="" style="width:216.8pt;height:131.2pt" o:ole="">
            <v:imagedata r:id="rId15" o:title=""/>
          </v:shape>
          <o:OLEObject Type="Embed" ProgID="ChemDraw.Document.6.0" ShapeID="_x0000_i1028" DrawAspect="Content" ObjectID="_1844342253" r:id="rId16"/>
        </w:object>
      </w:r>
    </w:p>
    <w:p w14:paraId="4B54D4DE" w14:textId="77777777" w:rsidR="002E28C1" w:rsidRDefault="00000000">
      <w:pPr>
        <w:pStyle w:val="Heading3"/>
        <w:keepNext w:val="0"/>
        <w:keepLines w:val="0"/>
        <w:spacing w:line="360" w:lineRule="auto"/>
        <w:jc w:val="both"/>
        <w:rPr>
          <w:rFonts w:ascii="Times New Roman" w:hAnsi="Times New Roman" w:cs="Times New Roman"/>
          <w:sz w:val="24"/>
          <w:szCs w:val="24"/>
        </w:rPr>
      </w:pPr>
      <w:r>
        <w:rPr>
          <w:rFonts w:ascii="Times New Roman" w:hAnsi="Times New Roman" w:cs="Times New Roman"/>
          <w:b/>
          <w:bCs/>
          <w:color w:val="auto"/>
          <w:sz w:val="24"/>
          <w:szCs w:val="24"/>
          <w:lang w:val="en-US"/>
        </w:rPr>
        <w:t>3.</w:t>
      </w:r>
      <w:proofErr w:type="gramStart"/>
      <w:r>
        <w:rPr>
          <w:rFonts w:ascii="Times New Roman" w:hAnsi="Times New Roman" w:cs="Times New Roman"/>
          <w:b/>
          <w:bCs/>
          <w:color w:val="auto"/>
          <w:sz w:val="24"/>
          <w:szCs w:val="24"/>
          <w:lang w:val="en-US"/>
        </w:rPr>
        <w:t>2 :A</w:t>
      </w:r>
      <w:proofErr w:type="spellStart"/>
      <w:r>
        <w:rPr>
          <w:rStyle w:val="Strong"/>
          <w:rFonts w:ascii="Times New Roman" w:hAnsi="Times New Roman" w:cs="Times New Roman"/>
          <w:color w:val="auto"/>
          <w:sz w:val="24"/>
          <w:szCs w:val="24"/>
        </w:rPr>
        <w:t>dvantage</w:t>
      </w:r>
      <w:proofErr w:type="spellEnd"/>
      <w:r>
        <w:rPr>
          <w:rStyle w:val="Strong"/>
          <w:rFonts w:ascii="Times New Roman" w:hAnsi="Times New Roman" w:cs="Times New Roman"/>
          <w:color w:val="auto"/>
          <w:sz w:val="24"/>
          <w:szCs w:val="24"/>
          <w:lang w:val="en-US"/>
        </w:rPr>
        <w:t>s</w:t>
      </w:r>
      <w:proofErr w:type="gramEnd"/>
      <w:r>
        <w:rPr>
          <w:rStyle w:val="Strong"/>
          <w:rFonts w:ascii="Times New Roman" w:hAnsi="Times New Roman" w:cs="Times New Roman"/>
          <w:color w:val="auto"/>
          <w:sz w:val="24"/>
          <w:szCs w:val="24"/>
          <w:lang w:val="en-US"/>
        </w:rPr>
        <w:t xml:space="preserve"> of click synthesis </w:t>
      </w:r>
      <w:r>
        <w:rPr>
          <w:rFonts w:ascii="Times New Roman" w:hAnsi="Times New Roman" w:cs="Times New Roman"/>
          <w:b/>
          <w:bCs/>
          <w:color w:val="auto"/>
          <w:sz w:val="24"/>
          <w:szCs w:val="24"/>
          <w:lang w:val="en-US"/>
        </w:rPr>
        <w:t>(</w:t>
      </w:r>
      <w:proofErr w:type="spellStart"/>
      <w:r>
        <w:rPr>
          <w:rFonts w:ascii="Times New Roman" w:hAnsi="Times New Roman" w:cs="Times New Roman"/>
          <w:b/>
          <w:bCs/>
          <w:color w:val="auto"/>
          <w:sz w:val="24"/>
          <w:szCs w:val="24"/>
          <w:lang w:val="en-US"/>
        </w:rPr>
        <w:t>CuAAC</w:t>
      </w:r>
      <w:proofErr w:type="spellEnd"/>
      <w:proofErr w:type="gramStart"/>
      <w:r>
        <w:rPr>
          <w:rFonts w:ascii="Times New Roman" w:hAnsi="Times New Roman" w:cs="Times New Roman"/>
          <w:b/>
          <w:bCs/>
          <w:color w:val="auto"/>
          <w:sz w:val="24"/>
          <w:szCs w:val="24"/>
          <w:lang w:val="en-US"/>
        </w:rPr>
        <w:t>) :</w:t>
      </w:r>
      <w:r>
        <w:rPr>
          <w:rFonts w:ascii="Times New Roman" w:hAnsi="Times New Roman" w:cs="Times New Roman"/>
          <w:color w:val="auto"/>
          <w:sz w:val="24"/>
          <w:szCs w:val="24"/>
        </w:rPr>
        <w:t>Delivers</w:t>
      </w:r>
      <w:proofErr w:type="gramEnd"/>
      <w:r>
        <w:rPr>
          <w:rFonts w:ascii="Times New Roman" w:hAnsi="Times New Roman" w:cs="Times New Roman"/>
          <w:color w:val="auto"/>
          <w:sz w:val="24"/>
          <w:szCs w:val="24"/>
        </w:rPr>
        <w:t xml:space="preserve"> consistently high yields with excellent regioselectivity while operating under mild and environmentally </w:t>
      </w:r>
      <w:proofErr w:type="spellStart"/>
      <w:r>
        <w:rPr>
          <w:rFonts w:ascii="Times New Roman" w:hAnsi="Times New Roman" w:cs="Times New Roman"/>
          <w:color w:val="auto"/>
          <w:sz w:val="24"/>
          <w:szCs w:val="24"/>
        </w:rPr>
        <w:t>favorable</w:t>
      </w:r>
      <w:proofErr w:type="spellEnd"/>
      <w:r>
        <w:rPr>
          <w:rFonts w:ascii="Times New Roman" w:hAnsi="Times New Roman" w:cs="Times New Roman"/>
          <w:color w:val="auto"/>
          <w:sz w:val="24"/>
          <w:szCs w:val="24"/>
        </w:rPr>
        <w:t xml:space="preserve"> </w:t>
      </w:r>
      <w:proofErr w:type="spellStart"/>
      <w:proofErr w:type="gramStart"/>
      <w:r>
        <w:rPr>
          <w:rFonts w:ascii="Times New Roman" w:hAnsi="Times New Roman" w:cs="Times New Roman"/>
          <w:color w:val="auto"/>
          <w:sz w:val="24"/>
          <w:szCs w:val="24"/>
        </w:rPr>
        <w:t>conditions.Demonstrates</w:t>
      </w:r>
      <w:proofErr w:type="spellEnd"/>
      <w:proofErr w:type="gramEnd"/>
      <w:r>
        <w:rPr>
          <w:rFonts w:ascii="Times New Roman" w:hAnsi="Times New Roman" w:cs="Times New Roman"/>
          <w:color w:val="auto"/>
          <w:sz w:val="24"/>
          <w:szCs w:val="24"/>
        </w:rPr>
        <w:t xml:space="preserve"> broad tolerance toward diverse functional groups, allowing incorporation of varied chemical </w:t>
      </w:r>
      <w:proofErr w:type="spellStart"/>
      <w:proofErr w:type="gramStart"/>
      <w:r>
        <w:rPr>
          <w:rFonts w:ascii="Times New Roman" w:hAnsi="Times New Roman" w:cs="Times New Roman"/>
          <w:color w:val="auto"/>
          <w:sz w:val="24"/>
          <w:szCs w:val="24"/>
        </w:rPr>
        <w:t>fragments.Enables</w:t>
      </w:r>
      <w:proofErr w:type="spellEnd"/>
      <w:proofErr w:type="gramEnd"/>
      <w:r>
        <w:rPr>
          <w:rFonts w:ascii="Times New Roman" w:hAnsi="Times New Roman" w:cs="Times New Roman"/>
          <w:color w:val="auto"/>
          <w:sz w:val="24"/>
          <w:szCs w:val="24"/>
        </w:rPr>
        <w:t xml:space="preserve"> efficient generation of structurally diverse compound libraries suitable for medicinal chemistry exploration</w:t>
      </w:r>
      <w:r>
        <w:rPr>
          <w:rFonts w:ascii="Times New Roman" w:hAnsi="Times New Roman" w:cs="Times New Roman"/>
          <w:sz w:val="24"/>
          <w:szCs w:val="24"/>
        </w:rPr>
        <w:t>.</w:t>
      </w:r>
    </w:p>
    <w:p w14:paraId="10772C3B" w14:textId="77777777" w:rsidR="002E28C1" w:rsidRDefault="00000000">
      <w:pPr>
        <w:pStyle w:val="Heading3"/>
        <w:keepNext w:val="0"/>
        <w:keepLines w:val="0"/>
        <w:spacing w:line="360" w:lineRule="auto"/>
        <w:jc w:val="both"/>
        <w:rPr>
          <w:rFonts w:ascii="Times New Roman" w:hAnsi="Times New Roman" w:cs="Times New Roman"/>
          <w:color w:val="auto"/>
          <w:sz w:val="24"/>
          <w:szCs w:val="24"/>
        </w:rPr>
      </w:pPr>
      <w:r>
        <w:rPr>
          <w:rStyle w:val="Strong"/>
          <w:rFonts w:ascii="Times New Roman" w:hAnsi="Times New Roman" w:cs="Times New Roman"/>
          <w:color w:val="auto"/>
          <w:sz w:val="24"/>
          <w:szCs w:val="24"/>
          <w:lang w:val="en-US"/>
        </w:rPr>
        <w:t>3.</w:t>
      </w:r>
      <w:proofErr w:type="gramStart"/>
      <w:r>
        <w:rPr>
          <w:rStyle w:val="Strong"/>
          <w:rFonts w:ascii="Times New Roman" w:hAnsi="Times New Roman" w:cs="Times New Roman"/>
          <w:color w:val="auto"/>
          <w:sz w:val="24"/>
          <w:szCs w:val="24"/>
          <w:lang w:val="en-US"/>
        </w:rPr>
        <w:t>3 :</w:t>
      </w:r>
      <w:r>
        <w:rPr>
          <w:rStyle w:val="Strong"/>
          <w:rFonts w:ascii="Times New Roman" w:hAnsi="Times New Roman" w:cs="Times New Roman"/>
          <w:color w:val="auto"/>
          <w:sz w:val="24"/>
          <w:szCs w:val="24"/>
        </w:rPr>
        <w:t>Applications</w:t>
      </w:r>
      <w:proofErr w:type="gramEnd"/>
      <w:r>
        <w:rPr>
          <w:rStyle w:val="Strong"/>
          <w:rFonts w:ascii="Times New Roman" w:hAnsi="Times New Roman" w:cs="Times New Roman"/>
          <w:color w:val="auto"/>
          <w:sz w:val="24"/>
          <w:szCs w:val="24"/>
          <w:lang w:val="en-US"/>
        </w:rPr>
        <w:t xml:space="preserve"> of click synthesis</w:t>
      </w:r>
      <w:r>
        <w:rPr>
          <w:rFonts w:ascii="Times New Roman" w:hAnsi="Times New Roman" w:cs="Times New Roman"/>
          <w:b/>
          <w:bCs/>
          <w:color w:val="auto"/>
          <w:sz w:val="24"/>
          <w:szCs w:val="24"/>
          <w:lang w:val="en-US"/>
        </w:rPr>
        <w:t xml:space="preserve"> (</w:t>
      </w:r>
      <w:proofErr w:type="spellStart"/>
      <w:r>
        <w:rPr>
          <w:rFonts w:ascii="Times New Roman" w:hAnsi="Times New Roman" w:cs="Times New Roman"/>
          <w:b/>
          <w:bCs/>
          <w:color w:val="auto"/>
          <w:sz w:val="24"/>
          <w:szCs w:val="24"/>
          <w:lang w:val="en-US"/>
        </w:rPr>
        <w:t>CuAAC</w:t>
      </w:r>
      <w:proofErr w:type="spellEnd"/>
      <w:proofErr w:type="gramStart"/>
      <w:r>
        <w:rPr>
          <w:rFonts w:ascii="Times New Roman" w:hAnsi="Times New Roman" w:cs="Times New Roman"/>
          <w:color w:val="auto"/>
          <w:sz w:val="24"/>
          <w:szCs w:val="24"/>
          <w:lang w:val="en-US"/>
        </w:rPr>
        <w:t>)</w:t>
      </w:r>
      <w:r>
        <w:rPr>
          <w:rFonts w:ascii="Times New Roman" w:hAnsi="Times New Roman" w:cs="Times New Roman"/>
          <w:b/>
          <w:bCs/>
          <w:color w:val="auto"/>
          <w:sz w:val="24"/>
          <w:szCs w:val="24"/>
          <w:lang w:val="en-US"/>
        </w:rPr>
        <w:t xml:space="preserve"> :</w:t>
      </w:r>
      <w:proofErr w:type="gramEnd"/>
      <w:r>
        <w:rPr>
          <w:rFonts w:ascii="Times New Roman" w:hAnsi="Times New Roman" w:cs="Times New Roman"/>
          <w:b/>
          <w:bCs/>
          <w:color w:val="auto"/>
          <w:sz w:val="24"/>
          <w:szCs w:val="24"/>
          <w:lang w:val="en-US"/>
        </w:rPr>
        <w:t xml:space="preserve">   </w:t>
      </w:r>
      <w:r>
        <w:rPr>
          <w:rFonts w:ascii="Times New Roman" w:hAnsi="Times New Roman" w:cs="Times New Roman"/>
          <w:color w:val="auto"/>
          <w:sz w:val="24"/>
          <w:szCs w:val="24"/>
        </w:rPr>
        <w:t xml:space="preserve">Widely applied in the synthesis and evaluation of antimicrobial scaffolds, including compounds with antibacterial and antifungal </w:t>
      </w:r>
      <w:proofErr w:type="spellStart"/>
      <w:proofErr w:type="gramStart"/>
      <w:r>
        <w:rPr>
          <w:rFonts w:ascii="Times New Roman" w:hAnsi="Times New Roman" w:cs="Times New Roman"/>
          <w:color w:val="auto"/>
          <w:sz w:val="24"/>
          <w:szCs w:val="24"/>
        </w:rPr>
        <w:t>activity.Serves</w:t>
      </w:r>
      <w:proofErr w:type="spellEnd"/>
      <w:proofErr w:type="gramEnd"/>
      <w:r>
        <w:rPr>
          <w:rFonts w:ascii="Times New Roman" w:hAnsi="Times New Roman" w:cs="Times New Roman"/>
          <w:color w:val="auto"/>
          <w:sz w:val="24"/>
          <w:szCs w:val="24"/>
        </w:rPr>
        <w:t xml:space="preserve"> as a versatile strategy for assembling hybrid molecules integrating key bioactive pharmacophores such as quinoline, chalcone, and oxadiazole units.</w:t>
      </w:r>
    </w:p>
    <w:p w14:paraId="46E89645" w14:textId="77777777" w:rsidR="002E28C1" w:rsidRDefault="00000000">
      <w:pPr>
        <w:pStyle w:val="Heading3"/>
        <w:keepNext w:val="0"/>
        <w:keepLines w:val="0"/>
        <w:spacing w:line="360" w:lineRule="auto"/>
        <w:jc w:val="both"/>
        <w:rPr>
          <w:rFonts w:ascii="Times New Roman" w:hAnsi="Times New Roman" w:cs="Times New Roman"/>
          <w:color w:val="auto"/>
          <w:sz w:val="24"/>
          <w:szCs w:val="24"/>
        </w:rPr>
      </w:pPr>
      <w:proofErr w:type="gramStart"/>
      <w:r>
        <w:rPr>
          <w:rStyle w:val="Strong"/>
          <w:rFonts w:ascii="Times New Roman" w:hAnsi="Times New Roman" w:cs="Times New Roman"/>
          <w:color w:val="auto"/>
          <w:sz w:val="24"/>
          <w:szCs w:val="24"/>
          <w:lang w:val="en-US"/>
        </w:rPr>
        <w:t>3.4 :</w:t>
      </w:r>
      <w:proofErr w:type="gramEnd"/>
      <w:r>
        <w:rPr>
          <w:rStyle w:val="Strong"/>
          <w:rFonts w:ascii="Times New Roman" w:hAnsi="Times New Roman" w:cs="Times New Roman"/>
          <w:color w:val="auto"/>
          <w:sz w:val="24"/>
          <w:szCs w:val="24"/>
          <w:lang w:val="en-US"/>
        </w:rPr>
        <w:t xml:space="preserve"> </w:t>
      </w:r>
      <w:r>
        <w:rPr>
          <w:rStyle w:val="Strong"/>
          <w:rFonts w:ascii="Times New Roman" w:hAnsi="Times New Roman" w:cs="Times New Roman"/>
          <w:color w:val="auto"/>
          <w:sz w:val="24"/>
          <w:szCs w:val="24"/>
        </w:rPr>
        <w:t>Key Insight</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Integration of the 1,2,3-triazole nucleus enhances ligand–target interactions and contributes to improved physicochemical stability and metabolic robustness of the resulting molecules.</w:t>
      </w:r>
    </w:p>
    <w:p w14:paraId="63D9AFCD" w14:textId="77777777" w:rsidR="002E28C1" w:rsidRDefault="00000000">
      <w:pPr>
        <w:spacing w:beforeAutospacing="1" w:after="0" w:afterAutospacing="1" w:line="360" w:lineRule="auto"/>
        <w:jc w:val="both"/>
        <w:rPr>
          <w:rFonts w:ascii="Times New Roman" w:hAnsi="Times New Roman" w:cs="Times New Roman"/>
        </w:rPr>
      </w:pPr>
      <w:proofErr w:type="gramStart"/>
      <w:r>
        <w:rPr>
          <w:rFonts w:ascii="Times New Roman" w:eastAsia="SimSun" w:hAnsi="Times New Roman" w:cs="Times New Roman"/>
          <w:b/>
          <w:bCs/>
          <w:lang w:val="en-US"/>
        </w:rPr>
        <w:t>4.0:</w:t>
      </w:r>
      <w:proofErr w:type="spellStart"/>
      <w:r>
        <w:rPr>
          <w:rFonts w:ascii="Times New Roman" w:eastAsia="SimSun" w:hAnsi="Times New Roman" w:cs="Times New Roman"/>
          <w:b/>
          <w:bCs/>
        </w:rPr>
        <w:t>RuAAC</w:t>
      </w:r>
      <w:proofErr w:type="spellEnd"/>
      <w:proofErr w:type="gramEnd"/>
      <w:r>
        <w:rPr>
          <w:rFonts w:ascii="Times New Roman" w:eastAsia="SimSun" w:hAnsi="Times New Roman" w:cs="Times New Roman"/>
          <w:b/>
          <w:bCs/>
        </w:rPr>
        <w:t>(1,5-Disubstituted Triazoles</w:t>
      </w:r>
      <w:proofErr w:type="gramStart"/>
      <w:r>
        <w:rPr>
          <w:rFonts w:ascii="Times New Roman" w:eastAsia="SimSun" w:hAnsi="Times New Roman" w:cs="Times New Roman"/>
          <w:b/>
          <w:bCs/>
        </w:rPr>
        <w:t>)</w:t>
      </w:r>
      <w:r>
        <w:rPr>
          <w:rFonts w:ascii="Times New Roman" w:eastAsia="SimSun" w:hAnsi="Times New Roman" w:cs="Times New Roman"/>
          <w:b/>
          <w:bCs/>
          <w:sz w:val="28"/>
          <w:szCs w:val="28"/>
          <w:lang w:val="en-US"/>
        </w:rPr>
        <w:t>:</w:t>
      </w:r>
      <w:r>
        <w:rPr>
          <w:rFonts w:ascii="Times New Roman" w:hAnsi="Times New Roman" w:cs="Times New Roman"/>
          <w:lang w:val="en-US"/>
        </w:rPr>
        <w:t>T</w:t>
      </w:r>
      <w:r>
        <w:rPr>
          <w:rFonts w:ascii="Times New Roman" w:hAnsi="Times New Roman" w:cs="Times New Roman"/>
        </w:rPr>
        <w:t>he</w:t>
      </w:r>
      <w:proofErr w:type="gramEnd"/>
      <w:r>
        <w:rPr>
          <w:rFonts w:ascii="Times New Roman" w:hAnsi="Times New Roman" w:cs="Times New Roman"/>
          <w:lang w:val="en-US"/>
        </w:rPr>
        <w:t xml:space="preserve"> </w:t>
      </w:r>
      <w:r>
        <w:rPr>
          <w:rFonts w:ascii="Times New Roman" w:hAnsi="Times New Roman" w:cs="Times New Roman"/>
        </w:rPr>
        <w:t>ruthenium-</w:t>
      </w:r>
      <w:proofErr w:type="spellStart"/>
      <w:r>
        <w:rPr>
          <w:rFonts w:ascii="Times New Roman" w:hAnsi="Times New Roman" w:cs="Times New Roman"/>
        </w:rPr>
        <w:t>catalyzedazide</w:t>
      </w:r>
      <w:proofErr w:type="spellEnd"/>
      <w:r>
        <w:rPr>
          <w:rFonts w:ascii="Times New Roman" w:hAnsi="Times New Roman" w:cs="Times New Roman"/>
        </w:rPr>
        <w:t>–alkyne cycloaddition (</w:t>
      </w:r>
      <w:proofErr w:type="spellStart"/>
      <w:r>
        <w:rPr>
          <w:rFonts w:ascii="Times New Roman" w:hAnsi="Times New Roman" w:cs="Times New Roman"/>
        </w:rPr>
        <w:t>RuAAC</w:t>
      </w:r>
      <w:proofErr w:type="spellEnd"/>
      <w:r>
        <w:rPr>
          <w:rFonts w:ascii="Times New Roman" w:hAnsi="Times New Roman" w:cs="Times New Roman"/>
        </w:rPr>
        <w:t xml:space="preserve">) is an alternative “click-type” transformation that enables the regioselective synthesis of </w:t>
      </w:r>
      <w:r>
        <w:rPr>
          <w:rStyle w:val="Strong"/>
          <w:rFonts w:ascii="Times New Roman" w:hAnsi="Times New Roman" w:cs="Times New Roman"/>
          <w:b w:val="0"/>
          <w:bCs w:val="0"/>
        </w:rPr>
        <w:t>1,5-disubstituted 1,2,3-triazoles</w:t>
      </w:r>
      <w:r>
        <w:rPr>
          <w:rFonts w:ascii="Times New Roman" w:hAnsi="Times New Roman" w:cs="Times New Roman"/>
        </w:rPr>
        <w:t xml:space="preserve">, a structural motif not readily accessible through the conventional </w:t>
      </w:r>
      <w:proofErr w:type="spellStart"/>
      <w:r>
        <w:rPr>
          <w:rFonts w:ascii="Times New Roman" w:hAnsi="Times New Roman" w:cs="Times New Roman"/>
        </w:rPr>
        <w:t>CuAAC</w:t>
      </w:r>
      <w:proofErr w:type="spellEnd"/>
      <w:r>
        <w:rPr>
          <w:rFonts w:ascii="Times New Roman" w:hAnsi="Times New Roman" w:cs="Times New Roman"/>
        </w:rPr>
        <w:t xml:space="preserve"> reaction—which predominantly yields the 1,4-disubstituted isomer. </w:t>
      </w:r>
      <w:proofErr w:type="spellStart"/>
      <w:r>
        <w:rPr>
          <w:rFonts w:ascii="Times New Roman" w:hAnsi="Times New Roman" w:cs="Times New Roman"/>
        </w:rPr>
        <w:t>RuAAC</w:t>
      </w:r>
      <w:proofErr w:type="spellEnd"/>
      <w:r>
        <w:rPr>
          <w:rFonts w:ascii="Times New Roman" w:hAnsi="Times New Roman" w:cs="Times New Roman"/>
        </w:rPr>
        <w:t xml:space="preserve"> typically employs </w:t>
      </w:r>
      <w:proofErr w:type="gramStart"/>
      <w:r>
        <w:rPr>
          <w:rFonts w:ascii="Times New Roman" w:hAnsi="Times New Roman" w:cs="Times New Roman"/>
        </w:rPr>
        <w:t>ruthenium(</w:t>
      </w:r>
      <w:proofErr w:type="gramEnd"/>
      <w:r>
        <w:rPr>
          <w:rFonts w:ascii="Times New Roman" w:hAnsi="Times New Roman" w:cs="Times New Roman"/>
        </w:rPr>
        <w:t xml:space="preserve">II) complexes such as </w:t>
      </w:r>
      <w:r>
        <w:rPr>
          <w:rStyle w:val="Strong"/>
          <w:rFonts w:ascii="Times New Roman" w:hAnsi="Times New Roman" w:cs="Times New Roman"/>
          <w:b w:val="0"/>
          <w:bCs w:val="0"/>
        </w:rPr>
        <w:t>Cp*</w:t>
      </w:r>
      <w:proofErr w:type="spellStart"/>
      <w:proofErr w:type="gramStart"/>
      <w:r>
        <w:rPr>
          <w:rStyle w:val="Strong"/>
          <w:rFonts w:ascii="Times New Roman" w:hAnsi="Times New Roman" w:cs="Times New Roman"/>
          <w:b w:val="0"/>
          <w:bCs w:val="0"/>
        </w:rPr>
        <w:t>RuCl</w:t>
      </w:r>
      <w:proofErr w:type="spellEnd"/>
      <w:r>
        <w:rPr>
          <w:rStyle w:val="Strong"/>
          <w:rFonts w:ascii="Times New Roman" w:hAnsi="Times New Roman" w:cs="Times New Roman"/>
          <w:b w:val="0"/>
          <w:bCs w:val="0"/>
        </w:rPr>
        <w:t>(</w:t>
      </w:r>
      <w:proofErr w:type="spellStart"/>
      <w:proofErr w:type="gramEnd"/>
      <w:r>
        <w:rPr>
          <w:rStyle w:val="Strong"/>
          <w:rFonts w:ascii="Times New Roman" w:hAnsi="Times New Roman" w:cs="Times New Roman"/>
          <w:b w:val="0"/>
          <w:bCs w:val="0"/>
        </w:rPr>
        <w:t>PPh</w:t>
      </w:r>
      <w:proofErr w:type="spellEnd"/>
      <w:proofErr w:type="gramStart"/>
      <w:r>
        <w:rPr>
          <w:rStyle w:val="Strong"/>
          <w:rFonts w:ascii="Times New Roman" w:hAnsi="Times New Roman" w:cs="Times New Roman"/>
          <w:b w:val="0"/>
          <w:bCs w:val="0"/>
        </w:rPr>
        <w:t>₃)₂</w:t>
      </w:r>
      <w:proofErr w:type="gramEnd"/>
      <w:r>
        <w:rPr>
          <w:rFonts w:ascii="Times New Roman" w:hAnsi="Times New Roman" w:cs="Times New Roman"/>
        </w:rPr>
        <w:t xml:space="preserve"> or </w:t>
      </w:r>
      <w:proofErr w:type="spellStart"/>
      <w:r>
        <w:rPr>
          <w:rStyle w:val="Strong"/>
          <w:rFonts w:ascii="Times New Roman" w:hAnsi="Times New Roman" w:cs="Times New Roman"/>
          <w:b w:val="0"/>
          <w:bCs w:val="0"/>
        </w:rPr>
        <w:t>RuCl</w:t>
      </w:r>
      <w:proofErr w:type="spellEnd"/>
      <w:r>
        <w:rPr>
          <w:rStyle w:val="Strong"/>
          <w:rFonts w:ascii="Times New Roman" w:hAnsi="Times New Roman" w:cs="Times New Roman"/>
          <w:b w:val="0"/>
          <w:bCs w:val="0"/>
        </w:rPr>
        <w:t>₂(</w:t>
      </w:r>
      <w:proofErr w:type="spellStart"/>
      <w:r>
        <w:rPr>
          <w:rStyle w:val="Strong"/>
          <w:rFonts w:ascii="Times New Roman" w:hAnsi="Times New Roman" w:cs="Times New Roman"/>
          <w:b w:val="0"/>
          <w:bCs w:val="0"/>
        </w:rPr>
        <w:t>PPh</w:t>
      </w:r>
      <w:proofErr w:type="spellEnd"/>
      <w:proofErr w:type="gramStart"/>
      <w:r>
        <w:rPr>
          <w:rStyle w:val="Strong"/>
          <w:rFonts w:ascii="Times New Roman" w:hAnsi="Times New Roman" w:cs="Times New Roman"/>
          <w:b w:val="0"/>
          <w:bCs w:val="0"/>
        </w:rPr>
        <w:t>₃)₃</w:t>
      </w:r>
      <w:proofErr w:type="gramEnd"/>
      <w:r>
        <w:rPr>
          <w:rFonts w:ascii="Times New Roman" w:hAnsi="Times New Roman" w:cs="Times New Roman"/>
        </w:rPr>
        <w:t xml:space="preserve"> as catalysts, allowing the cycloaddition of terminal or internal alkynes with organic </w:t>
      </w:r>
      <w:proofErr w:type="spellStart"/>
      <w:r>
        <w:rPr>
          <w:rFonts w:ascii="Times New Roman" w:hAnsi="Times New Roman" w:cs="Times New Roman"/>
        </w:rPr>
        <w:t>azides</w:t>
      </w:r>
      <w:proofErr w:type="spellEnd"/>
      <w:r>
        <w:rPr>
          <w:rFonts w:ascii="Times New Roman" w:hAnsi="Times New Roman" w:cs="Times New Roman"/>
        </w:rPr>
        <w:t xml:space="preserve"> under relatively mild reaction </w:t>
      </w:r>
      <w:proofErr w:type="spellStart"/>
      <w:proofErr w:type="gramStart"/>
      <w:r>
        <w:rPr>
          <w:rFonts w:ascii="Times New Roman" w:hAnsi="Times New Roman" w:cs="Times New Roman"/>
        </w:rPr>
        <w:t>conditions.A</w:t>
      </w:r>
      <w:proofErr w:type="spellEnd"/>
      <w:proofErr w:type="gramEnd"/>
      <w:r>
        <w:rPr>
          <w:rFonts w:ascii="Times New Roman" w:hAnsi="Times New Roman" w:cs="Times New Roman"/>
        </w:rPr>
        <w:t xml:space="preserve"> key advantage of </w:t>
      </w:r>
      <w:proofErr w:type="spellStart"/>
      <w:r>
        <w:rPr>
          <w:rFonts w:ascii="Times New Roman" w:hAnsi="Times New Roman" w:cs="Times New Roman"/>
        </w:rPr>
        <w:t>RuAAC</w:t>
      </w:r>
      <w:proofErr w:type="spellEnd"/>
      <w:r>
        <w:rPr>
          <w:rFonts w:ascii="Times New Roman" w:hAnsi="Times New Roman" w:cs="Times New Roman"/>
        </w:rPr>
        <w:t xml:space="preserve"> is its </w:t>
      </w:r>
      <w:r>
        <w:rPr>
          <w:rStyle w:val="Strong"/>
          <w:rFonts w:ascii="Times New Roman" w:hAnsi="Times New Roman" w:cs="Times New Roman"/>
          <w:b w:val="0"/>
          <w:bCs w:val="0"/>
        </w:rPr>
        <w:t>broad substrate tolerance</w:t>
      </w:r>
      <w:r>
        <w:rPr>
          <w:rFonts w:ascii="Times New Roman" w:hAnsi="Times New Roman" w:cs="Times New Roman"/>
        </w:rPr>
        <w:t xml:space="preserve">, including aromatic, aliphatic, and electron-rich or </w:t>
      </w:r>
      <w:r>
        <w:rPr>
          <w:rFonts w:ascii="Times New Roman" w:hAnsi="Times New Roman" w:cs="Times New Roman"/>
        </w:rPr>
        <w:lastRenderedPageBreak/>
        <w:t xml:space="preserve">electron-deficient alkynes. The reaction proceeds through a ruthenium-mediated alkyne activation pathway, promoting cycloaddition at the </w:t>
      </w:r>
      <w:r>
        <w:rPr>
          <w:rStyle w:val="Strong"/>
          <w:rFonts w:ascii="Times New Roman" w:hAnsi="Times New Roman" w:cs="Times New Roman"/>
          <w:b w:val="0"/>
          <w:bCs w:val="0"/>
        </w:rPr>
        <w:t>1,5-position</w:t>
      </w:r>
      <w:r>
        <w:rPr>
          <w:rFonts w:ascii="Times New Roman" w:hAnsi="Times New Roman" w:cs="Times New Roman"/>
        </w:rPr>
        <w:t xml:space="preserve"> of the triazole ring. This regioselectivity significantly expands the available chemical space for triazole derivatives and offers greater flexibility in medicinal chemistry </w:t>
      </w:r>
      <w:proofErr w:type="spellStart"/>
      <w:proofErr w:type="gramStart"/>
      <w:r>
        <w:rPr>
          <w:rFonts w:ascii="Times New Roman" w:hAnsi="Times New Roman" w:cs="Times New Roman"/>
        </w:rPr>
        <w:t>applications.Owing</w:t>
      </w:r>
      <w:proofErr w:type="spellEnd"/>
      <w:proofErr w:type="gramEnd"/>
      <w:r>
        <w:rPr>
          <w:rFonts w:ascii="Times New Roman" w:hAnsi="Times New Roman" w:cs="Times New Roman"/>
        </w:rPr>
        <w:t xml:space="preserve"> to their unique substitution pattern, 1,5-disubstituted triazoles prepared via </w:t>
      </w:r>
      <w:proofErr w:type="spellStart"/>
      <w:r>
        <w:rPr>
          <w:rFonts w:ascii="Times New Roman" w:hAnsi="Times New Roman" w:cs="Times New Roman"/>
        </w:rPr>
        <w:t>RuAAC</w:t>
      </w:r>
      <w:proofErr w:type="spellEnd"/>
      <w:r>
        <w:rPr>
          <w:rFonts w:ascii="Times New Roman" w:hAnsi="Times New Roman" w:cs="Times New Roman"/>
        </w:rPr>
        <w:t xml:space="preserve"> often exhibit distinct</w:t>
      </w:r>
      <w:r>
        <w:rPr>
          <w:rFonts w:ascii="Times New Roman" w:hAnsi="Times New Roman" w:cs="Times New Roman"/>
          <w:lang w:val="en-US"/>
        </w:rPr>
        <w:t xml:space="preserve"> </w:t>
      </w:r>
      <w:r>
        <w:rPr>
          <w:rFonts w:ascii="Times New Roman" w:hAnsi="Times New Roman" w:cs="Times New Roman"/>
        </w:rPr>
        <w:t xml:space="preserve">physicochemical and biological properties compared to their 1,4-isomeric counterparts. These features have made </w:t>
      </w:r>
      <w:proofErr w:type="spellStart"/>
      <w:r>
        <w:rPr>
          <w:rFonts w:ascii="Times New Roman" w:hAnsi="Times New Roman" w:cs="Times New Roman"/>
        </w:rPr>
        <w:t>RuAAC</w:t>
      </w:r>
      <w:proofErr w:type="spellEnd"/>
      <w:r>
        <w:rPr>
          <w:rFonts w:ascii="Times New Roman" w:hAnsi="Times New Roman" w:cs="Times New Roman"/>
        </w:rPr>
        <w:t xml:space="preserve"> a valuable synthetic tool in drug discovery programs, enabling the development of specialized triazole-based scaffolds, molecular linkers, and hybrid pharmacophores for antimicrobial and other therapeutic applications.</w:t>
      </w:r>
    </w:p>
    <w:p w14:paraId="313A4A67" w14:textId="77777777" w:rsidR="002E28C1" w:rsidRDefault="00000000">
      <w:pPr>
        <w:jc w:val="both"/>
        <w:rPr>
          <w:rFonts w:ascii="Times New Roman" w:hAnsi="Times New Roman" w:cs="Times New Roman"/>
        </w:rPr>
      </w:pPr>
      <w:r>
        <w:rPr>
          <w:rFonts w:ascii="Times New Roman" w:hAnsi="Times New Roman" w:cs="Times New Roman"/>
        </w:rPr>
        <w:object w:dxaOrig="4014" w:dyaOrig="1582" w14:anchorId="5BB20E31">
          <v:shape id="_x0000_i1029" type="#_x0000_t75" style="width:200.9pt;height:79.5pt" o:ole="">
            <v:imagedata r:id="rId17" o:title=""/>
            <o:lock v:ext="edit" aspectratio="f"/>
          </v:shape>
          <o:OLEObject Type="Embed" ProgID="ChemDraw.Document.6.0" ShapeID="_x0000_i1029" DrawAspect="Content" ObjectID="_1844342254" r:id="rId18"/>
        </w:object>
      </w:r>
    </w:p>
    <w:p w14:paraId="24451FB8" w14:textId="77777777" w:rsidR="002E28C1" w:rsidRDefault="00000000">
      <w:pPr>
        <w:pStyle w:val="Heading1"/>
        <w:keepNext w:val="0"/>
        <w:keepLines w:val="0"/>
        <w:spacing w:line="360" w:lineRule="auto"/>
        <w:jc w:val="both"/>
        <w:rPr>
          <w:rFonts w:ascii="Times New Roman" w:hAnsi="Times New Roman" w:cs="Times New Roman"/>
          <w:color w:val="auto"/>
          <w:sz w:val="24"/>
          <w:szCs w:val="24"/>
          <w:lang w:val="en-US"/>
        </w:rPr>
      </w:pPr>
      <w:proofErr w:type="gramStart"/>
      <w:r>
        <w:rPr>
          <w:rStyle w:val="Strong"/>
          <w:rFonts w:ascii="Times New Roman" w:hAnsi="Times New Roman" w:cs="Times New Roman"/>
          <w:color w:val="auto"/>
          <w:sz w:val="24"/>
          <w:szCs w:val="24"/>
          <w:lang w:val="en-US"/>
        </w:rPr>
        <w:t>4.1 :</w:t>
      </w:r>
      <w:r>
        <w:rPr>
          <w:rStyle w:val="Strong"/>
          <w:rFonts w:ascii="Times New Roman" w:hAnsi="Times New Roman" w:cs="Times New Roman"/>
          <w:color w:val="auto"/>
          <w:sz w:val="24"/>
          <w:szCs w:val="24"/>
        </w:rPr>
        <w:t>Advantages</w:t>
      </w:r>
      <w:proofErr w:type="gramEnd"/>
      <w:r>
        <w:rPr>
          <w:rStyle w:val="Strong"/>
          <w:rFonts w:ascii="Times New Roman" w:hAnsi="Times New Roman" w:cs="Times New Roman"/>
          <w:color w:val="auto"/>
          <w:sz w:val="24"/>
          <w:szCs w:val="24"/>
        </w:rPr>
        <w:t xml:space="preserve"> and Limitations of </w:t>
      </w:r>
      <w:proofErr w:type="spellStart"/>
      <w:proofErr w:type="gramStart"/>
      <w:r>
        <w:rPr>
          <w:rStyle w:val="Strong"/>
          <w:rFonts w:ascii="Times New Roman" w:hAnsi="Times New Roman" w:cs="Times New Roman"/>
          <w:color w:val="auto"/>
          <w:sz w:val="24"/>
          <w:szCs w:val="24"/>
        </w:rPr>
        <w:t>RuAAC</w:t>
      </w:r>
      <w:proofErr w:type="spellEnd"/>
      <w:r>
        <w:rPr>
          <w:rStyle w:val="Strong"/>
          <w:rFonts w:ascii="Times New Roman" w:hAnsi="Times New Roman" w:cs="Times New Roman"/>
          <w:color w:val="auto"/>
          <w:sz w:val="24"/>
          <w:szCs w:val="24"/>
        </w:rPr>
        <w:t xml:space="preserve"> </w:t>
      </w:r>
      <w:r>
        <w:rPr>
          <w:rStyle w:val="Strong"/>
          <w:rFonts w:ascii="Times New Roman" w:hAnsi="Times New Roman" w:cs="Times New Roman"/>
          <w:color w:val="auto"/>
          <w:sz w:val="24"/>
          <w:szCs w:val="24"/>
          <w:lang w:val="en-US"/>
        </w:rPr>
        <w:t>:</w:t>
      </w:r>
      <w:proofErr w:type="gramEnd"/>
      <w:r>
        <w:rPr>
          <w:rStyle w:val="Strong"/>
          <w:rFonts w:ascii="Times New Roman" w:hAnsi="Times New Roman" w:cs="Times New Roman"/>
          <w:b w:val="0"/>
          <w:bCs w:val="0"/>
          <w:color w:val="auto"/>
          <w:sz w:val="24"/>
          <w:szCs w:val="24"/>
          <w:lang w:val="en-US"/>
        </w:rPr>
        <w:t xml:space="preserve"> </w:t>
      </w:r>
      <w:r>
        <w:rPr>
          <w:rStyle w:val="Strong"/>
          <w:rFonts w:ascii="Times New Roman" w:hAnsi="Times New Roman" w:cs="Times New Roman"/>
          <w:b w:val="0"/>
          <w:bCs w:val="0"/>
          <w:color w:val="auto"/>
          <w:sz w:val="24"/>
          <w:szCs w:val="24"/>
        </w:rPr>
        <w:t>(Ruthenium-</w:t>
      </w:r>
      <w:proofErr w:type="spellStart"/>
      <w:r>
        <w:rPr>
          <w:rStyle w:val="Strong"/>
          <w:rFonts w:ascii="Times New Roman" w:hAnsi="Times New Roman" w:cs="Times New Roman"/>
          <w:b w:val="0"/>
          <w:bCs w:val="0"/>
          <w:color w:val="auto"/>
          <w:sz w:val="24"/>
          <w:szCs w:val="24"/>
        </w:rPr>
        <w:t>Catalyzed</w:t>
      </w:r>
      <w:proofErr w:type="spellEnd"/>
      <w:r>
        <w:rPr>
          <w:rStyle w:val="Strong"/>
          <w:rFonts w:ascii="Times New Roman" w:hAnsi="Times New Roman" w:cs="Times New Roman"/>
          <w:b w:val="0"/>
          <w:bCs w:val="0"/>
          <w:color w:val="auto"/>
          <w:sz w:val="24"/>
          <w:szCs w:val="24"/>
        </w:rPr>
        <w:t xml:space="preserve"> </w:t>
      </w:r>
      <w:proofErr w:type="spellStart"/>
      <w:r>
        <w:rPr>
          <w:rStyle w:val="Strong"/>
          <w:rFonts w:ascii="Times New Roman" w:hAnsi="Times New Roman" w:cs="Times New Roman"/>
          <w:b w:val="0"/>
          <w:bCs w:val="0"/>
          <w:color w:val="auto"/>
          <w:sz w:val="24"/>
          <w:szCs w:val="24"/>
        </w:rPr>
        <w:t>Azide</w:t>
      </w:r>
      <w:proofErr w:type="spellEnd"/>
      <w:r>
        <w:rPr>
          <w:rStyle w:val="Strong"/>
          <w:rFonts w:ascii="Times New Roman" w:hAnsi="Times New Roman" w:cs="Times New Roman"/>
          <w:b w:val="0"/>
          <w:bCs w:val="0"/>
          <w:color w:val="auto"/>
          <w:sz w:val="24"/>
          <w:szCs w:val="24"/>
        </w:rPr>
        <w:t xml:space="preserve">–Alkyne </w:t>
      </w:r>
      <w:proofErr w:type="gramStart"/>
      <w:r>
        <w:rPr>
          <w:rStyle w:val="Strong"/>
          <w:rFonts w:ascii="Times New Roman" w:hAnsi="Times New Roman" w:cs="Times New Roman"/>
          <w:b w:val="0"/>
          <w:bCs w:val="0"/>
          <w:color w:val="auto"/>
          <w:sz w:val="24"/>
          <w:szCs w:val="24"/>
        </w:rPr>
        <w:t>Cycloaddition</w:t>
      </w:r>
      <w:r>
        <w:rPr>
          <w:rStyle w:val="Strong"/>
          <w:rFonts w:ascii="Times New Roman" w:hAnsi="Times New Roman" w:cs="Times New Roman"/>
          <w:b w:val="0"/>
          <w:bCs w:val="0"/>
          <w:color w:val="auto"/>
          <w:sz w:val="24"/>
          <w:szCs w:val="24"/>
          <w:lang w:val="en-US"/>
        </w:rPr>
        <w:t>:</w:t>
      </w:r>
      <w:r>
        <w:rPr>
          <w:rStyle w:val="Strong"/>
          <w:rFonts w:ascii="Times New Roman" w:hAnsi="Times New Roman" w:cs="Times New Roman"/>
          <w:b w:val="0"/>
          <w:bCs w:val="0"/>
          <w:color w:val="auto"/>
          <w:sz w:val="24"/>
          <w:szCs w:val="24"/>
        </w:rPr>
        <w:t>Selective</w:t>
      </w:r>
      <w:proofErr w:type="gramEnd"/>
      <w:r>
        <w:rPr>
          <w:rStyle w:val="Strong"/>
          <w:rFonts w:ascii="Times New Roman" w:hAnsi="Times New Roman" w:cs="Times New Roman"/>
          <w:b w:val="0"/>
          <w:bCs w:val="0"/>
          <w:color w:val="auto"/>
          <w:sz w:val="24"/>
          <w:szCs w:val="24"/>
        </w:rPr>
        <w:t xml:space="preserve"> access to 1,5-disubstituted triazoles</w:t>
      </w:r>
      <w:r>
        <w:rPr>
          <w:rStyle w:val="Strong"/>
          <w:rFonts w:ascii="Times New Roman" w:hAnsi="Times New Roman" w:cs="Times New Roman"/>
          <w:b w:val="0"/>
          <w:bCs w:val="0"/>
          <w:color w:val="auto"/>
          <w:sz w:val="24"/>
          <w:szCs w:val="24"/>
          <w:lang w:val="en-US"/>
        </w:rPr>
        <w:t xml:space="preserve">; </w:t>
      </w:r>
      <w:proofErr w:type="spellStart"/>
      <w:r>
        <w:rPr>
          <w:rFonts w:ascii="Times New Roman" w:hAnsi="Times New Roman" w:cs="Times New Roman"/>
          <w:color w:val="auto"/>
          <w:sz w:val="24"/>
          <w:szCs w:val="24"/>
        </w:rPr>
        <w:t>RuAAC</w:t>
      </w:r>
      <w:proofErr w:type="spellEnd"/>
      <w:r>
        <w:rPr>
          <w:rFonts w:ascii="Times New Roman" w:hAnsi="Times New Roman" w:cs="Times New Roman"/>
          <w:color w:val="auto"/>
          <w:sz w:val="24"/>
          <w:szCs w:val="24"/>
        </w:rPr>
        <w:t xml:space="preserve"> uniquely affords the 1,5-regioisomer, which cannot be efficiently obtained through the standard </w:t>
      </w:r>
      <w:proofErr w:type="spellStart"/>
      <w:r>
        <w:rPr>
          <w:rFonts w:ascii="Times New Roman" w:hAnsi="Times New Roman" w:cs="Times New Roman"/>
          <w:color w:val="auto"/>
          <w:sz w:val="24"/>
          <w:szCs w:val="24"/>
        </w:rPr>
        <w:t>CuAAC</w:t>
      </w:r>
      <w:proofErr w:type="spellEnd"/>
      <w:r>
        <w:rPr>
          <w:rFonts w:ascii="Times New Roman" w:hAnsi="Times New Roman" w:cs="Times New Roman"/>
          <w:color w:val="auto"/>
          <w:sz w:val="24"/>
          <w:szCs w:val="24"/>
        </w:rPr>
        <w:t xml:space="preserve"> method.</w:t>
      </w:r>
      <w:r>
        <w:rPr>
          <w:rFonts w:ascii="Times New Roman" w:hAnsi="Times New Roman" w:cs="Times New Roman"/>
          <w:color w:val="auto"/>
          <w:sz w:val="24"/>
          <w:szCs w:val="24"/>
          <w:lang w:val="en-US"/>
        </w:rPr>
        <w:t xml:space="preserve"> </w:t>
      </w:r>
      <w:r>
        <w:rPr>
          <w:rStyle w:val="Strong"/>
          <w:rFonts w:ascii="Times New Roman" w:hAnsi="Times New Roman" w:cs="Times New Roman"/>
          <w:b w:val="0"/>
          <w:bCs w:val="0"/>
          <w:color w:val="auto"/>
          <w:sz w:val="24"/>
          <w:szCs w:val="24"/>
        </w:rPr>
        <w:t>Broad alkyne</w:t>
      </w:r>
      <w:r>
        <w:rPr>
          <w:rStyle w:val="Strong"/>
          <w:rFonts w:ascii="Times New Roman" w:hAnsi="Times New Roman" w:cs="Times New Roman"/>
          <w:b w:val="0"/>
          <w:bCs w:val="0"/>
          <w:sz w:val="24"/>
          <w:szCs w:val="24"/>
        </w:rPr>
        <w:t xml:space="preserve"> </w:t>
      </w:r>
      <w:proofErr w:type="gramStart"/>
      <w:r>
        <w:rPr>
          <w:rStyle w:val="Strong"/>
          <w:rFonts w:ascii="Times New Roman" w:hAnsi="Times New Roman" w:cs="Times New Roman"/>
          <w:b w:val="0"/>
          <w:bCs w:val="0"/>
          <w:sz w:val="24"/>
          <w:szCs w:val="24"/>
        </w:rPr>
        <w:t>c</w:t>
      </w:r>
      <w:r>
        <w:rPr>
          <w:rStyle w:val="Strong"/>
          <w:rFonts w:ascii="Times New Roman" w:hAnsi="Times New Roman" w:cs="Times New Roman"/>
          <w:b w:val="0"/>
          <w:bCs w:val="0"/>
          <w:color w:val="auto"/>
          <w:sz w:val="24"/>
          <w:szCs w:val="24"/>
        </w:rPr>
        <w:t>ompatibility</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Works</w:t>
      </w:r>
      <w:proofErr w:type="gramEnd"/>
      <w:r>
        <w:rPr>
          <w:rFonts w:ascii="Times New Roman" w:hAnsi="Times New Roman" w:cs="Times New Roman"/>
          <w:color w:val="auto"/>
          <w:sz w:val="24"/>
          <w:szCs w:val="24"/>
        </w:rPr>
        <w:t xml:space="preserve"> with </w:t>
      </w:r>
      <w:r>
        <w:rPr>
          <w:rStyle w:val="Strong"/>
          <w:rFonts w:ascii="Times New Roman" w:hAnsi="Times New Roman" w:cs="Times New Roman"/>
          <w:b w:val="0"/>
          <w:bCs w:val="0"/>
          <w:color w:val="auto"/>
          <w:sz w:val="24"/>
          <w:szCs w:val="24"/>
        </w:rPr>
        <w:t xml:space="preserve">terminal and </w:t>
      </w:r>
      <w:r>
        <w:rPr>
          <w:rStyle w:val="Strong"/>
          <w:rFonts w:ascii="Times New Roman" w:hAnsi="Times New Roman" w:cs="Times New Roman"/>
          <w:b w:val="0"/>
          <w:bCs w:val="0"/>
          <w:sz w:val="24"/>
          <w:szCs w:val="24"/>
        </w:rPr>
        <w:t>i</w:t>
      </w:r>
      <w:r>
        <w:rPr>
          <w:rStyle w:val="Strong"/>
          <w:rFonts w:ascii="Times New Roman" w:hAnsi="Times New Roman" w:cs="Times New Roman"/>
          <w:b w:val="0"/>
          <w:bCs w:val="0"/>
          <w:color w:val="auto"/>
          <w:sz w:val="24"/>
          <w:szCs w:val="24"/>
        </w:rPr>
        <w:t>nternal alkynes</w:t>
      </w:r>
      <w:r>
        <w:rPr>
          <w:rFonts w:ascii="Times New Roman" w:hAnsi="Times New Roman" w:cs="Times New Roman"/>
          <w:i/>
          <w:iCs/>
          <w:color w:val="auto"/>
          <w:sz w:val="24"/>
          <w:szCs w:val="24"/>
        </w:rPr>
        <w:t>,</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including electron-rich, electron-poor, aromatic, and aliphatic substrates.</w:t>
      </w:r>
      <w:r>
        <w:rPr>
          <w:rFonts w:ascii="Times New Roman" w:hAnsi="Times New Roman" w:cs="Times New Roman"/>
          <w:color w:val="auto"/>
          <w:sz w:val="24"/>
          <w:szCs w:val="24"/>
          <w:lang w:val="en-US"/>
        </w:rPr>
        <w:t xml:space="preserve"> </w:t>
      </w:r>
      <w:r>
        <w:rPr>
          <w:rStyle w:val="Strong"/>
          <w:rFonts w:ascii="Times New Roman" w:hAnsi="Times New Roman" w:cs="Times New Roman"/>
          <w:b w:val="0"/>
          <w:bCs w:val="0"/>
          <w:color w:val="auto"/>
          <w:sz w:val="24"/>
          <w:szCs w:val="24"/>
        </w:rPr>
        <w:t>Functional-group tolerance</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 xml:space="preserve">Compatible with many substituents, enabling diverse structural </w:t>
      </w:r>
      <w:proofErr w:type="spellStart"/>
      <w:r>
        <w:rPr>
          <w:rFonts w:ascii="Times New Roman" w:hAnsi="Times New Roman" w:cs="Times New Roman"/>
          <w:color w:val="auto"/>
          <w:sz w:val="24"/>
          <w:szCs w:val="24"/>
        </w:rPr>
        <w:t>modifications.</w:t>
      </w:r>
      <w:r>
        <w:rPr>
          <w:rStyle w:val="Strong"/>
          <w:rFonts w:ascii="Times New Roman" w:hAnsi="Times New Roman" w:cs="Times New Roman"/>
          <w:b w:val="0"/>
          <w:bCs w:val="0"/>
          <w:color w:val="auto"/>
          <w:sz w:val="24"/>
          <w:szCs w:val="24"/>
        </w:rPr>
        <w:t>Mild</w:t>
      </w:r>
      <w:proofErr w:type="spellEnd"/>
      <w:r>
        <w:rPr>
          <w:rStyle w:val="Strong"/>
          <w:rFonts w:ascii="Times New Roman" w:hAnsi="Times New Roman" w:cs="Times New Roman"/>
          <w:b w:val="0"/>
          <w:bCs w:val="0"/>
          <w:color w:val="auto"/>
          <w:sz w:val="24"/>
          <w:szCs w:val="24"/>
        </w:rPr>
        <w:t xml:space="preserve"> reaction conditions</w:t>
      </w:r>
      <w:r>
        <w:rPr>
          <w:rStyle w:val="Strong"/>
          <w:rFonts w:ascii="Times New Roman" w:hAnsi="Times New Roman" w:cs="Times New Roman"/>
          <w:b w:val="0"/>
          <w:bCs w:val="0"/>
          <w:color w:val="auto"/>
          <w:sz w:val="24"/>
          <w:szCs w:val="24"/>
          <w:lang w:val="en-US"/>
        </w:rPr>
        <w:t>:</w:t>
      </w:r>
      <w:r>
        <w:rPr>
          <w:rFonts w:ascii="Times New Roman" w:hAnsi="Times New Roman" w:cs="Times New Roman"/>
          <w:color w:val="auto"/>
          <w:sz w:val="24"/>
          <w:szCs w:val="24"/>
        </w:rPr>
        <w:t xml:space="preserve">Typically proceeds at moderate temperatures and in a variety of </w:t>
      </w:r>
      <w:proofErr w:type="spellStart"/>
      <w:r>
        <w:rPr>
          <w:rFonts w:ascii="Times New Roman" w:hAnsi="Times New Roman" w:cs="Times New Roman"/>
          <w:color w:val="auto"/>
          <w:sz w:val="24"/>
          <w:szCs w:val="24"/>
        </w:rPr>
        <w:t>solvents.</w:t>
      </w:r>
      <w:r>
        <w:rPr>
          <w:rStyle w:val="Strong"/>
          <w:rFonts w:ascii="Times New Roman" w:hAnsi="Times New Roman" w:cs="Times New Roman"/>
          <w:b w:val="0"/>
          <w:bCs w:val="0"/>
          <w:color w:val="auto"/>
          <w:sz w:val="24"/>
          <w:szCs w:val="24"/>
        </w:rPr>
        <w:t>Synthetic</w:t>
      </w:r>
      <w:proofErr w:type="spellEnd"/>
      <w:r>
        <w:rPr>
          <w:rStyle w:val="Strong"/>
          <w:rFonts w:ascii="Times New Roman" w:hAnsi="Times New Roman" w:cs="Times New Roman"/>
          <w:b w:val="0"/>
          <w:bCs w:val="0"/>
          <w:color w:val="auto"/>
          <w:sz w:val="24"/>
          <w:szCs w:val="24"/>
        </w:rPr>
        <w:t xml:space="preserve"> flexibility for medicinal chemistry</w:t>
      </w:r>
      <w:r>
        <w:rPr>
          <w:rStyle w:val="Strong"/>
          <w:rFonts w:ascii="Times New Roman" w:hAnsi="Times New Roman" w:cs="Times New Roman"/>
          <w:b w:val="0"/>
          <w:bCs w:val="0"/>
          <w:color w:val="auto"/>
          <w:sz w:val="24"/>
          <w:szCs w:val="24"/>
          <w:lang w:val="en-US"/>
        </w:rPr>
        <w:t>:</w:t>
      </w:r>
      <w:r>
        <w:rPr>
          <w:rFonts w:ascii="Times New Roman" w:hAnsi="Times New Roman" w:cs="Times New Roman"/>
          <w:color w:val="auto"/>
          <w:sz w:val="24"/>
          <w:szCs w:val="24"/>
        </w:rPr>
        <w:t xml:space="preserve">1,5-triazoles often show </w:t>
      </w:r>
      <w:r>
        <w:rPr>
          <w:rStyle w:val="Strong"/>
          <w:rFonts w:ascii="Times New Roman" w:hAnsi="Times New Roman" w:cs="Times New Roman"/>
          <w:b w:val="0"/>
          <w:bCs w:val="0"/>
          <w:color w:val="auto"/>
          <w:sz w:val="24"/>
          <w:szCs w:val="24"/>
        </w:rPr>
        <w:t>distinct biological and physicochemical properties</w:t>
      </w:r>
      <w:r>
        <w:rPr>
          <w:rFonts w:ascii="Times New Roman" w:hAnsi="Times New Roman" w:cs="Times New Roman"/>
          <w:color w:val="auto"/>
          <w:sz w:val="24"/>
          <w:szCs w:val="24"/>
        </w:rPr>
        <w:t xml:space="preserve">, expanding drug design </w:t>
      </w:r>
      <w:proofErr w:type="spellStart"/>
      <w:r>
        <w:rPr>
          <w:rFonts w:ascii="Times New Roman" w:hAnsi="Times New Roman" w:cs="Times New Roman"/>
          <w:color w:val="auto"/>
          <w:sz w:val="24"/>
          <w:szCs w:val="24"/>
        </w:rPr>
        <w:t>possibilities.</w:t>
      </w:r>
      <w:r>
        <w:rPr>
          <w:rStyle w:val="Strong"/>
          <w:rFonts w:ascii="Times New Roman" w:hAnsi="Times New Roman" w:cs="Times New Roman"/>
          <w:b w:val="0"/>
          <w:bCs w:val="0"/>
          <w:color w:val="auto"/>
          <w:sz w:val="24"/>
          <w:szCs w:val="24"/>
        </w:rPr>
        <w:t>Useful</w:t>
      </w:r>
      <w:proofErr w:type="spellEnd"/>
      <w:r>
        <w:rPr>
          <w:rStyle w:val="Strong"/>
          <w:rFonts w:ascii="Times New Roman" w:hAnsi="Times New Roman" w:cs="Times New Roman"/>
          <w:b w:val="0"/>
          <w:bCs w:val="0"/>
          <w:color w:val="auto"/>
          <w:sz w:val="24"/>
          <w:szCs w:val="24"/>
        </w:rPr>
        <w:t xml:space="preserve"> for building specific structural motifs</w:t>
      </w:r>
      <w:r>
        <w:rPr>
          <w:rStyle w:val="Strong"/>
          <w:rFonts w:ascii="Times New Roman" w:hAnsi="Times New Roman" w:cs="Times New Roman"/>
          <w:b w:val="0"/>
          <w:bCs w:val="0"/>
          <w:color w:val="auto"/>
          <w:sz w:val="24"/>
          <w:szCs w:val="24"/>
          <w:lang w:val="en-US"/>
        </w:rPr>
        <w:t xml:space="preserve"> : </w:t>
      </w:r>
      <w:r>
        <w:rPr>
          <w:rFonts w:ascii="Times New Roman" w:hAnsi="Times New Roman" w:cs="Times New Roman"/>
          <w:color w:val="auto"/>
          <w:sz w:val="24"/>
          <w:szCs w:val="24"/>
        </w:rPr>
        <w:t xml:space="preserve">Helpful when the orientation of substituents (1,5-pattern) is crucial for biological activity or molecular </w:t>
      </w:r>
      <w:proofErr w:type="spellStart"/>
      <w:r>
        <w:rPr>
          <w:rFonts w:ascii="Times New Roman" w:hAnsi="Times New Roman" w:cs="Times New Roman"/>
          <w:color w:val="auto"/>
          <w:sz w:val="24"/>
          <w:szCs w:val="24"/>
        </w:rPr>
        <w:t>geometr</w:t>
      </w:r>
      <w:proofErr w:type="spellEnd"/>
      <w:r>
        <w:rPr>
          <w:rFonts w:ascii="Times New Roman" w:hAnsi="Times New Roman" w:cs="Times New Roman"/>
          <w:color w:val="auto"/>
          <w:sz w:val="24"/>
          <w:szCs w:val="24"/>
          <w:lang w:val="en-US"/>
        </w:rPr>
        <w:t>y.</w:t>
      </w:r>
    </w:p>
    <w:p w14:paraId="0ADEA891" w14:textId="77777777" w:rsidR="002E28C1" w:rsidRDefault="00000000">
      <w:pPr>
        <w:pStyle w:val="Heading2"/>
        <w:keepNext w:val="0"/>
        <w:keepLines w:val="0"/>
        <w:spacing w:line="360" w:lineRule="auto"/>
        <w:jc w:val="both"/>
        <w:rPr>
          <w:rFonts w:ascii="Times New Roman" w:hAnsi="Times New Roman" w:cs="Times New Roman"/>
          <w:color w:val="auto"/>
          <w:sz w:val="24"/>
          <w:szCs w:val="24"/>
          <w:lang w:val="en-US"/>
        </w:rPr>
      </w:pPr>
      <w:r>
        <w:rPr>
          <w:rStyle w:val="Strong"/>
          <w:rFonts w:ascii="Times New Roman" w:hAnsi="Times New Roman" w:cs="Times New Roman"/>
          <w:color w:val="auto"/>
          <w:sz w:val="24"/>
          <w:szCs w:val="24"/>
          <w:lang w:val="en-US"/>
        </w:rPr>
        <w:t>4.2</w:t>
      </w:r>
      <w:r>
        <w:rPr>
          <w:rStyle w:val="Strong"/>
          <w:rFonts w:ascii="Times New Roman" w:hAnsi="Times New Roman" w:cs="Times New Roman"/>
          <w:color w:val="auto"/>
          <w:sz w:val="24"/>
          <w:szCs w:val="24"/>
        </w:rPr>
        <w:t xml:space="preserve"> Limitations of </w:t>
      </w:r>
      <w:proofErr w:type="spellStart"/>
      <w:r>
        <w:rPr>
          <w:rStyle w:val="Strong"/>
          <w:rFonts w:ascii="Times New Roman" w:hAnsi="Times New Roman" w:cs="Times New Roman"/>
          <w:color w:val="auto"/>
          <w:sz w:val="24"/>
          <w:szCs w:val="24"/>
        </w:rPr>
        <w:t>RuAAC</w:t>
      </w:r>
      <w:proofErr w:type="spellEnd"/>
      <w:r>
        <w:rPr>
          <w:rStyle w:val="Strong"/>
          <w:rFonts w:ascii="Times New Roman" w:hAnsi="Times New Roman" w:cs="Times New Roman"/>
          <w:color w:val="auto"/>
          <w:sz w:val="24"/>
          <w:szCs w:val="24"/>
          <w:lang w:val="en-US"/>
        </w:rPr>
        <w:t>:</w:t>
      </w:r>
      <w:r>
        <w:rPr>
          <w:rStyle w:val="Strong"/>
          <w:rFonts w:ascii="Times New Roman" w:hAnsi="Times New Roman" w:cs="Times New Roman"/>
          <w:b w:val="0"/>
          <w:bCs w:val="0"/>
          <w:color w:val="auto"/>
          <w:sz w:val="24"/>
          <w:szCs w:val="24"/>
          <w:lang w:val="en-US"/>
        </w:rPr>
        <w:t xml:space="preserve"> </w:t>
      </w:r>
      <w:r>
        <w:rPr>
          <w:rStyle w:val="Strong"/>
          <w:rFonts w:ascii="Times New Roman" w:hAnsi="Times New Roman" w:cs="Times New Roman"/>
          <w:b w:val="0"/>
          <w:bCs w:val="0"/>
          <w:color w:val="auto"/>
          <w:sz w:val="24"/>
          <w:szCs w:val="24"/>
        </w:rPr>
        <w:t>Use of expensive metal catalysts</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Ruthenium catalysts are significantly more costly than copper, limiting large-scale applications</w:t>
      </w:r>
      <w:r>
        <w:rPr>
          <w:rFonts w:ascii="Times New Roman" w:hAnsi="Times New Roman" w:cs="Times New Roman"/>
          <w:color w:val="auto"/>
          <w:sz w:val="24"/>
          <w:szCs w:val="24"/>
          <w:lang w:val="en-US"/>
        </w:rPr>
        <w:t>.</w:t>
      </w:r>
      <w:r>
        <w:rPr>
          <w:rStyle w:val="Strong"/>
          <w:rFonts w:ascii="Times New Roman" w:hAnsi="Times New Roman" w:cs="Times New Roman"/>
          <w:b w:val="0"/>
          <w:bCs w:val="0"/>
          <w:color w:val="auto"/>
          <w:sz w:val="24"/>
          <w:szCs w:val="24"/>
        </w:rPr>
        <w:t>Lower accessibility and availability of catalysts</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 xml:space="preserve">Ru catalysts are less common and less user-friendly than widely available </w:t>
      </w:r>
      <w:proofErr w:type="spellStart"/>
      <w:r>
        <w:rPr>
          <w:rFonts w:ascii="Times New Roman" w:hAnsi="Times New Roman" w:cs="Times New Roman"/>
          <w:color w:val="auto"/>
          <w:sz w:val="24"/>
          <w:szCs w:val="24"/>
        </w:rPr>
        <w:t>CuAAC</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reagents.</w:t>
      </w:r>
      <w:r>
        <w:rPr>
          <w:rStyle w:val="Strong"/>
          <w:rFonts w:ascii="Times New Roman" w:hAnsi="Times New Roman" w:cs="Times New Roman"/>
          <w:b w:val="0"/>
          <w:bCs w:val="0"/>
          <w:color w:val="auto"/>
          <w:sz w:val="24"/>
          <w:szCs w:val="24"/>
        </w:rPr>
        <w:t>Potential</w:t>
      </w:r>
      <w:proofErr w:type="spellEnd"/>
      <w:r>
        <w:rPr>
          <w:rStyle w:val="Strong"/>
          <w:rFonts w:ascii="Times New Roman" w:hAnsi="Times New Roman" w:cs="Times New Roman"/>
          <w:b w:val="0"/>
          <w:bCs w:val="0"/>
          <w:color w:val="auto"/>
          <w:sz w:val="24"/>
          <w:szCs w:val="24"/>
        </w:rPr>
        <w:t xml:space="preserve"> for metal contamination</w:t>
      </w:r>
      <w:r>
        <w:rPr>
          <w:rStyle w:val="Strong"/>
          <w:rFonts w:ascii="Times New Roman" w:hAnsi="Times New Roman" w:cs="Times New Roman"/>
          <w:b w:val="0"/>
          <w:bCs w:val="0"/>
          <w:color w:val="auto"/>
          <w:sz w:val="24"/>
          <w:szCs w:val="24"/>
          <w:lang w:val="en-US"/>
        </w:rPr>
        <w:t>:</w:t>
      </w:r>
      <w:r>
        <w:rPr>
          <w:rFonts w:ascii="Times New Roman" w:hAnsi="Times New Roman" w:cs="Times New Roman"/>
          <w:color w:val="auto"/>
          <w:sz w:val="24"/>
          <w:szCs w:val="24"/>
        </w:rPr>
        <w:t xml:space="preserve">Residual ruthenium may require additional purification steps, particularly for pharmaceutical </w:t>
      </w:r>
      <w:proofErr w:type="spellStart"/>
      <w:r>
        <w:rPr>
          <w:rFonts w:ascii="Times New Roman" w:hAnsi="Times New Roman" w:cs="Times New Roman"/>
          <w:color w:val="auto"/>
          <w:sz w:val="24"/>
          <w:szCs w:val="24"/>
        </w:rPr>
        <w:t>applications.</w:t>
      </w:r>
      <w:r>
        <w:rPr>
          <w:rStyle w:val="Strong"/>
          <w:rFonts w:ascii="Times New Roman" w:hAnsi="Times New Roman" w:cs="Times New Roman"/>
          <w:b w:val="0"/>
          <w:bCs w:val="0"/>
          <w:color w:val="auto"/>
          <w:sz w:val="24"/>
          <w:szCs w:val="24"/>
        </w:rPr>
        <w:t>Usually</w:t>
      </w:r>
      <w:proofErr w:type="spellEnd"/>
      <w:r>
        <w:rPr>
          <w:rStyle w:val="Strong"/>
          <w:rFonts w:ascii="Times New Roman" w:hAnsi="Times New Roman" w:cs="Times New Roman"/>
          <w:b w:val="0"/>
          <w:bCs w:val="0"/>
          <w:color w:val="auto"/>
          <w:sz w:val="24"/>
          <w:szCs w:val="24"/>
        </w:rPr>
        <w:t xml:space="preserve"> slower than </w:t>
      </w:r>
      <w:proofErr w:type="spellStart"/>
      <w:r>
        <w:rPr>
          <w:rStyle w:val="Strong"/>
          <w:rFonts w:ascii="Times New Roman" w:hAnsi="Times New Roman" w:cs="Times New Roman"/>
          <w:b w:val="0"/>
          <w:bCs w:val="0"/>
          <w:color w:val="auto"/>
          <w:sz w:val="24"/>
          <w:szCs w:val="24"/>
        </w:rPr>
        <w:t>CuAAC</w:t>
      </w:r>
      <w:proofErr w:type="spellEnd"/>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 xml:space="preserve">The reaction rate is often reduced compared with the rapid, high-yielding </w:t>
      </w:r>
      <w:proofErr w:type="spellStart"/>
      <w:r>
        <w:rPr>
          <w:rFonts w:ascii="Times New Roman" w:hAnsi="Times New Roman" w:cs="Times New Roman"/>
          <w:color w:val="auto"/>
          <w:sz w:val="24"/>
          <w:szCs w:val="24"/>
        </w:rPr>
        <w:t>CuAAC</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process.</w:t>
      </w:r>
      <w:r>
        <w:rPr>
          <w:rStyle w:val="Strong"/>
          <w:rFonts w:ascii="Times New Roman" w:hAnsi="Times New Roman" w:cs="Times New Roman"/>
          <w:b w:val="0"/>
          <w:bCs w:val="0"/>
          <w:color w:val="auto"/>
          <w:sz w:val="24"/>
          <w:szCs w:val="24"/>
        </w:rPr>
        <w:t>Less</w:t>
      </w:r>
      <w:proofErr w:type="spellEnd"/>
      <w:r>
        <w:rPr>
          <w:rStyle w:val="Strong"/>
          <w:rFonts w:ascii="Times New Roman" w:hAnsi="Times New Roman" w:cs="Times New Roman"/>
          <w:b w:val="0"/>
          <w:bCs w:val="0"/>
          <w:color w:val="auto"/>
          <w:sz w:val="24"/>
          <w:szCs w:val="24"/>
        </w:rPr>
        <w:t xml:space="preserve"> environmentally benign</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 xml:space="preserve">Ru-based systems are not considered as “green” as </w:t>
      </w:r>
      <w:proofErr w:type="spellStart"/>
      <w:r>
        <w:rPr>
          <w:rFonts w:ascii="Times New Roman" w:hAnsi="Times New Roman" w:cs="Times New Roman"/>
          <w:color w:val="auto"/>
          <w:sz w:val="24"/>
          <w:szCs w:val="24"/>
        </w:rPr>
        <w:t>CuAAC</w:t>
      </w:r>
      <w:proofErr w:type="spellEnd"/>
      <w:r>
        <w:rPr>
          <w:rFonts w:ascii="Times New Roman" w:hAnsi="Times New Roman" w:cs="Times New Roman"/>
          <w:color w:val="auto"/>
          <w:sz w:val="24"/>
          <w:szCs w:val="24"/>
        </w:rPr>
        <w:t xml:space="preserve">, especially for aqueous or biological </w:t>
      </w:r>
      <w:proofErr w:type="spellStart"/>
      <w:r>
        <w:rPr>
          <w:rFonts w:ascii="Times New Roman" w:hAnsi="Times New Roman" w:cs="Times New Roman"/>
          <w:color w:val="auto"/>
          <w:sz w:val="24"/>
          <w:szCs w:val="24"/>
        </w:rPr>
        <w:t>settings.</w:t>
      </w:r>
      <w:r>
        <w:rPr>
          <w:rStyle w:val="Strong"/>
          <w:rFonts w:ascii="Times New Roman" w:hAnsi="Times New Roman" w:cs="Times New Roman"/>
          <w:b w:val="0"/>
          <w:bCs w:val="0"/>
          <w:color w:val="auto"/>
          <w:sz w:val="24"/>
          <w:szCs w:val="24"/>
        </w:rPr>
        <w:t>Limited</w:t>
      </w:r>
      <w:proofErr w:type="spellEnd"/>
      <w:r>
        <w:rPr>
          <w:rStyle w:val="Strong"/>
          <w:rFonts w:ascii="Times New Roman" w:hAnsi="Times New Roman" w:cs="Times New Roman"/>
          <w:b w:val="0"/>
          <w:bCs w:val="0"/>
          <w:color w:val="auto"/>
          <w:sz w:val="24"/>
          <w:szCs w:val="24"/>
        </w:rPr>
        <w:t xml:space="preserve"> </w:t>
      </w:r>
      <w:proofErr w:type="spellStart"/>
      <w:r>
        <w:rPr>
          <w:rStyle w:val="Strong"/>
          <w:rFonts w:ascii="Times New Roman" w:hAnsi="Times New Roman" w:cs="Times New Roman"/>
          <w:b w:val="0"/>
          <w:bCs w:val="0"/>
          <w:color w:val="auto"/>
          <w:sz w:val="24"/>
          <w:szCs w:val="24"/>
        </w:rPr>
        <w:t>regioisomer</w:t>
      </w:r>
      <w:proofErr w:type="spellEnd"/>
      <w:r>
        <w:rPr>
          <w:rStyle w:val="Strong"/>
          <w:rFonts w:ascii="Times New Roman" w:hAnsi="Times New Roman" w:cs="Times New Roman"/>
          <w:b w:val="0"/>
          <w:bCs w:val="0"/>
          <w:color w:val="auto"/>
          <w:sz w:val="24"/>
          <w:szCs w:val="24"/>
        </w:rPr>
        <w:t xml:space="preserve"> </w:t>
      </w:r>
      <w:r>
        <w:rPr>
          <w:rStyle w:val="Strong"/>
          <w:rFonts w:ascii="Times New Roman" w:hAnsi="Times New Roman" w:cs="Times New Roman"/>
          <w:b w:val="0"/>
          <w:bCs w:val="0"/>
          <w:color w:val="auto"/>
          <w:sz w:val="24"/>
          <w:szCs w:val="24"/>
        </w:rPr>
        <w:lastRenderedPageBreak/>
        <w:t>options</w:t>
      </w:r>
      <w:r>
        <w:rPr>
          <w:rStyle w:val="Strong"/>
          <w:rFonts w:ascii="Times New Roman" w:hAnsi="Times New Roman" w:cs="Times New Roman"/>
          <w:b w:val="0"/>
          <w:bCs w:val="0"/>
          <w:color w:val="auto"/>
          <w:sz w:val="24"/>
          <w:szCs w:val="24"/>
          <w:lang w:val="en-US"/>
        </w:rPr>
        <w:t xml:space="preserve">: </w:t>
      </w:r>
      <w:r>
        <w:rPr>
          <w:rFonts w:ascii="Times New Roman" w:hAnsi="Times New Roman" w:cs="Times New Roman"/>
          <w:color w:val="auto"/>
          <w:sz w:val="24"/>
          <w:szCs w:val="24"/>
        </w:rPr>
        <w:t xml:space="preserve">While </w:t>
      </w:r>
      <w:proofErr w:type="spellStart"/>
      <w:r>
        <w:rPr>
          <w:rFonts w:ascii="Times New Roman" w:hAnsi="Times New Roman" w:cs="Times New Roman"/>
          <w:color w:val="auto"/>
          <w:sz w:val="24"/>
          <w:szCs w:val="24"/>
        </w:rPr>
        <w:t>RuAAC</w:t>
      </w:r>
      <w:proofErr w:type="spellEnd"/>
      <w:r>
        <w:rPr>
          <w:rFonts w:ascii="Times New Roman" w:hAnsi="Times New Roman" w:cs="Times New Roman"/>
          <w:color w:val="auto"/>
          <w:sz w:val="24"/>
          <w:szCs w:val="24"/>
        </w:rPr>
        <w:t xml:space="preserve"> is excellent for 1,5-triazoles, it does not provide the 1,4-isomers </w:t>
      </w:r>
      <w:r>
        <w:rPr>
          <w:rFonts w:ascii="Times New Roman" w:hAnsi="Times New Roman" w:cs="Times New Roman"/>
          <w:color w:val="auto"/>
          <w:sz w:val="24"/>
          <w:szCs w:val="24"/>
        </w:rPr>
        <w:t xml:space="preserve">efficiently—meaning both reactions are still needed for full </w:t>
      </w:r>
      <w:proofErr w:type="spellStart"/>
      <w:r>
        <w:rPr>
          <w:rFonts w:ascii="Times New Roman" w:hAnsi="Times New Roman" w:cs="Times New Roman"/>
          <w:color w:val="auto"/>
          <w:sz w:val="24"/>
          <w:szCs w:val="24"/>
        </w:rPr>
        <w:t>diversificatio</w:t>
      </w:r>
      <w:proofErr w:type="spellEnd"/>
      <w:r>
        <w:rPr>
          <w:rFonts w:ascii="Times New Roman" w:hAnsi="Times New Roman" w:cs="Times New Roman"/>
          <w:color w:val="auto"/>
          <w:sz w:val="24"/>
          <w:szCs w:val="24"/>
          <w:lang w:val="en-US"/>
        </w:rPr>
        <w:t>n.</w:t>
      </w:r>
    </w:p>
    <w:p w14:paraId="1AF58A89" w14:textId="77777777" w:rsidR="002E28C1" w:rsidRDefault="002E28C1">
      <w:pPr>
        <w:jc w:val="both"/>
        <w:rPr>
          <w:rFonts w:ascii="Times New Roman" w:hAnsi="Times New Roman" w:cs="Times New Roman"/>
          <w:lang w:val="en-US"/>
        </w:rPr>
        <w:sectPr w:rsidR="002E28C1">
          <w:type w:val="continuous"/>
          <w:pgSz w:w="11906" w:h="16838"/>
          <w:pgMar w:top="1440" w:right="1440" w:bottom="1440" w:left="1440" w:header="720" w:footer="720" w:gutter="0"/>
          <w:cols w:num="2" w:space="720" w:equalWidth="0">
            <w:col w:w="4300" w:space="425"/>
            <w:col w:w="4300"/>
          </w:cols>
          <w:docGrid w:linePitch="360"/>
        </w:sectPr>
      </w:pPr>
    </w:p>
    <w:p w14:paraId="58D064A9" w14:textId="77777777" w:rsidR="002E28C1" w:rsidRDefault="002E28C1">
      <w:pPr>
        <w:pStyle w:val="Heading3"/>
        <w:keepNext w:val="0"/>
        <w:keepLines w:val="0"/>
        <w:spacing w:line="360" w:lineRule="auto"/>
        <w:jc w:val="both"/>
        <w:rPr>
          <w:rStyle w:val="Strong"/>
          <w:rFonts w:ascii="Times New Roman" w:hAnsi="Times New Roman" w:cs="Times New Roman"/>
          <w:sz w:val="24"/>
          <w:szCs w:val="24"/>
          <w:lang w:val="en-US"/>
        </w:rPr>
      </w:pPr>
    </w:p>
    <w:p w14:paraId="4DB29EC1" w14:textId="77777777" w:rsidR="002E28C1" w:rsidRDefault="00000000">
      <w:pPr>
        <w:pStyle w:val="Heading3"/>
        <w:keepNext w:val="0"/>
        <w:keepLines w:val="0"/>
        <w:spacing w:line="360" w:lineRule="auto"/>
        <w:jc w:val="both"/>
        <w:rPr>
          <w:rStyle w:val="Strong"/>
          <w:rFonts w:ascii="Times New Roman" w:hAnsi="Times New Roman" w:cs="Times New Roman"/>
          <w:color w:val="auto"/>
          <w:sz w:val="24"/>
          <w:szCs w:val="24"/>
          <w:lang w:val="en-US"/>
        </w:rPr>
      </w:pPr>
      <w:proofErr w:type="gramStart"/>
      <w:r>
        <w:rPr>
          <w:rStyle w:val="Strong"/>
          <w:rFonts w:ascii="Times New Roman" w:hAnsi="Times New Roman" w:cs="Times New Roman"/>
          <w:color w:val="auto"/>
          <w:sz w:val="24"/>
          <w:szCs w:val="24"/>
          <w:lang w:val="en-US"/>
        </w:rPr>
        <w:t>5 :</w:t>
      </w:r>
      <w:proofErr w:type="gramEnd"/>
      <w:r>
        <w:rPr>
          <w:rStyle w:val="Strong"/>
          <w:rFonts w:ascii="Times New Roman" w:hAnsi="Times New Roman" w:cs="Times New Roman"/>
          <w:color w:val="auto"/>
          <w:sz w:val="24"/>
          <w:szCs w:val="24"/>
          <w:lang w:val="en-US"/>
        </w:rPr>
        <w:t xml:space="preserve"> </w:t>
      </w:r>
      <w:r>
        <w:rPr>
          <w:rStyle w:val="Strong"/>
          <w:rFonts w:ascii="Times New Roman" w:hAnsi="Times New Roman" w:cs="Times New Roman"/>
          <w:color w:val="auto"/>
          <w:sz w:val="24"/>
          <w:szCs w:val="24"/>
        </w:rPr>
        <w:t>Synthesis of 1,3,4-oxadiazoles</w:t>
      </w:r>
      <w:r>
        <w:rPr>
          <w:rStyle w:val="Strong"/>
          <w:rFonts w:ascii="Times New Roman" w:hAnsi="Times New Roman" w:cs="Times New Roman"/>
          <w:color w:val="auto"/>
          <w:sz w:val="24"/>
          <w:szCs w:val="24"/>
          <w:lang w:val="en-US"/>
        </w:rPr>
        <w:t>:</w:t>
      </w:r>
    </w:p>
    <w:p w14:paraId="58813983" w14:textId="77777777" w:rsidR="002E28C1" w:rsidRDefault="00000000">
      <w:pPr>
        <w:pStyle w:val="Heading3"/>
        <w:keepNext w:val="0"/>
        <w:keepLines w:val="0"/>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 xml:space="preserve">5.1: </w:t>
      </w:r>
      <w:r>
        <w:rPr>
          <w:rFonts w:ascii="Times New Roman" w:hAnsi="Times New Roman" w:cs="Times New Roman"/>
          <w:b/>
          <w:bCs/>
          <w:color w:val="auto"/>
          <w:sz w:val="24"/>
          <w:szCs w:val="24"/>
        </w:rPr>
        <w:t xml:space="preserve">Cyclodehydration of </w:t>
      </w:r>
      <w:r>
        <w:rPr>
          <w:rStyle w:val="Strong"/>
          <w:rFonts w:ascii="Times New Roman" w:hAnsi="Times New Roman" w:cs="Times New Roman"/>
          <w:color w:val="auto"/>
          <w:sz w:val="24"/>
          <w:szCs w:val="24"/>
        </w:rPr>
        <w:t>acyl hydrazides</w:t>
      </w:r>
      <w:r>
        <w:rPr>
          <w:rFonts w:ascii="Times New Roman" w:hAnsi="Times New Roman" w:cs="Times New Roman"/>
          <w:b/>
          <w:bCs/>
          <w:color w:val="auto"/>
          <w:sz w:val="24"/>
          <w:szCs w:val="24"/>
        </w:rPr>
        <w:t xml:space="preserve"> using </w:t>
      </w:r>
      <w:proofErr w:type="spellStart"/>
      <w:r>
        <w:rPr>
          <w:rFonts w:ascii="Times New Roman" w:hAnsi="Times New Roman" w:cs="Times New Roman"/>
          <w:b/>
          <w:bCs/>
          <w:color w:val="auto"/>
          <w:sz w:val="24"/>
          <w:szCs w:val="24"/>
        </w:rPr>
        <w:t>POCl</w:t>
      </w:r>
      <w:proofErr w:type="spellEnd"/>
      <w:r>
        <w:rPr>
          <w:rFonts w:ascii="Times New Roman" w:hAnsi="Times New Roman" w:cs="Times New Roman"/>
          <w:b/>
          <w:bCs/>
          <w:color w:val="auto"/>
          <w:sz w:val="24"/>
          <w:szCs w:val="24"/>
        </w:rPr>
        <w:t>₃</w:t>
      </w:r>
    </w:p>
    <w:p w14:paraId="708849E7" w14:textId="77777777" w:rsidR="002E28C1" w:rsidRDefault="00000000">
      <w:pPr>
        <w:spacing w:beforeAutospacing="1" w:after="0" w:afterAutospacing="1" w:line="360" w:lineRule="auto"/>
        <w:jc w:val="both"/>
        <w:rPr>
          <w:rFonts w:ascii="Times New Roman" w:hAnsi="Times New Roman" w:cs="Times New Roman"/>
        </w:rPr>
      </w:pPr>
      <w:r>
        <w:rPr>
          <w:rFonts w:ascii="Times New Roman" w:hAnsi="Times New Roman" w:cs="Times New Roman"/>
        </w:rPr>
        <w:object w:dxaOrig="3968" w:dyaOrig="1732" w14:anchorId="58D75C65">
          <v:shape id="_x0000_i1030" type="#_x0000_t75" style="width:198.8pt;height:86.25pt" o:ole="">
            <v:imagedata r:id="rId19" o:title=""/>
            <o:lock v:ext="edit" aspectratio="f"/>
          </v:shape>
          <o:OLEObject Type="Embed" ProgID="ChemDraw.Document.6.0" ShapeID="_x0000_i1030" DrawAspect="Content" ObjectID="_1844342255" r:id="rId20"/>
        </w:object>
      </w:r>
    </w:p>
    <w:p w14:paraId="378811AA" w14:textId="77777777" w:rsidR="002E28C1" w:rsidRDefault="00000000">
      <w:pPr>
        <w:pStyle w:val="Heading3"/>
        <w:keepNext w:val="0"/>
        <w:keepLines w:val="0"/>
        <w:spacing w:line="360" w:lineRule="auto"/>
        <w:jc w:val="both"/>
        <w:rPr>
          <w:rStyle w:val="Strong"/>
          <w:rFonts w:ascii="Times New Roman" w:hAnsi="Times New Roman" w:cs="Times New Roman"/>
          <w:color w:val="auto"/>
          <w:sz w:val="24"/>
          <w:szCs w:val="24"/>
        </w:rPr>
      </w:pPr>
      <w:r>
        <w:rPr>
          <w:rStyle w:val="Strong"/>
          <w:rFonts w:ascii="Times New Roman" w:hAnsi="Times New Roman" w:cs="Times New Roman"/>
          <w:color w:val="auto"/>
          <w:sz w:val="24"/>
          <w:szCs w:val="24"/>
          <w:lang w:val="en-US"/>
        </w:rPr>
        <w:t>5.2</w:t>
      </w:r>
      <w:r>
        <w:rPr>
          <w:rStyle w:val="Strong"/>
          <w:rFonts w:ascii="Times New Roman" w:hAnsi="Times New Roman" w:cs="Times New Roman"/>
          <w:color w:val="auto"/>
          <w:sz w:val="24"/>
          <w:szCs w:val="24"/>
        </w:rPr>
        <w:t>. Synthesis of 1,2,4-oxadiazoles</w:t>
      </w:r>
    </w:p>
    <w:p w14:paraId="7A1A6C37" w14:textId="77777777" w:rsidR="002E28C1" w:rsidRDefault="00000000">
      <w:pPr>
        <w:pStyle w:val="Heading3"/>
        <w:keepNext w:val="0"/>
        <w:keepLines w:val="0"/>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Cyclization via </w:t>
      </w:r>
      <w:r>
        <w:rPr>
          <w:rStyle w:val="Strong"/>
          <w:rFonts w:ascii="Times New Roman" w:hAnsi="Times New Roman" w:cs="Times New Roman"/>
          <w:color w:val="auto"/>
          <w:sz w:val="24"/>
          <w:szCs w:val="24"/>
        </w:rPr>
        <w:t>DCC, EDC, or CDI</w:t>
      </w:r>
      <w:r>
        <w:rPr>
          <w:rFonts w:ascii="Times New Roman" w:hAnsi="Times New Roman" w:cs="Times New Roman"/>
          <w:color w:val="auto"/>
          <w:sz w:val="24"/>
          <w:szCs w:val="24"/>
        </w:rPr>
        <w:t xml:space="preserve"> coupling</w:t>
      </w:r>
    </w:p>
    <w:p w14:paraId="62B6626E" w14:textId="77777777" w:rsidR="002E28C1" w:rsidRDefault="00000000">
      <w:pPr>
        <w:jc w:val="both"/>
        <w:rPr>
          <w:rFonts w:ascii="Times New Roman" w:hAnsi="Times New Roman" w:cs="Times New Roman"/>
        </w:rPr>
      </w:pPr>
      <w:r>
        <w:rPr>
          <w:rFonts w:ascii="Times New Roman" w:hAnsi="Times New Roman" w:cs="Times New Roman"/>
        </w:rPr>
        <w:object w:dxaOrig="3893" w:dyaOrig="1596" w14:anchorId="59006C6D">
          <v:shape id="_x0000_i1031" type="#_x0000_t75" style="width:194.25pt;height:79.5pt" o:ole="">
            <v:imagedata r:id="rId21" o:title=""/>
            <o:lock v:ext="edit" aspectratio="f"/>
          </v:shape>
          <o:OLEObject Type="Embed" ProgID="ChemDraw.Document.6.0" ShapeID="_x0000_i1031" DrawAspect="Content" ObjectID="_1844342256" r:id="rId22"/>
        </w:object>
      </w:r>
    </w:p>
    <w:p w14:paraId="09EAF7E5" w14:textId="77777777" w:rsidR="002E28C1" w:rsidRDefault="002E28C1">
      <w:pPr>
        <w:jc w:val="both"/>
        <w:rPr>
          <w:rFonts w:ascii="Times New Roman" w:hAnsi="Times New Roman" w:cs="Times New Roman"/>
        </w:rPr>
      </w:pPr>
    </w:p>
    <w:p w14:paraId="1634CF2E" w14:textId="77777777" w:rsidR="002E28C1" w:rsidRDefault="00000000">
      <w:pPr>
        <w:pStyle w:val="BodyText"/>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6.0: Hybrid </w:t>
      </w:r>
      <w:proofErr w:type="gramStart"/>
      <w:r>
        <w:rPr>
          <w:rFonts w:ascii="Times New Roman" w:hAnsi="Times New Roman" w:cs="Times New Roman"/>
          <w:b/>
          <w:bCs/>
          <w:sz w:val="28"/>
          <w:szCs w:val="28"/>
        </w:rPr>
        <w:t>synthesis :</w:t>
      </w:r>
      <w:proofErr w:type="gramEnd"/>
    </w:p>
    <w:p w14:paraId="02FCDA07" w14:textId="77777777" w:rsidR="002E28C1" w:rsidRDefault="00000000">
      <w:pPr>
        <w:pStyle w:val="BodyText"/>
        <w:spacing w:line="360" w:lineRule="auto"/>
        <w:jc w:val="both"/>
        <w:rPr>
          <w:rFonts w:ascii="Times New Roman" w:hAnsi="Times New Roman" w:cs="Times New Roman"/>
        </w:rPr>
      </w:pPr>
      <w:r>
        <w:rPr>
          <w:rFonts w:ascii="Times New Roman" w:eastAsia="SimSun" w:hAnsi="Times New Roman" w:cs="Times New Roman"/>
        </w:rPr>
        <w:t xml:space="preserve">Preparation and characterization of quinoline–heterocyclic hybrids with inhibitory activity on DNA gyrase and topoisomerase </w:t>
      </w:r>
      <w:proofErr w:type="spellStart"/>
      <w:proofErr w:type="gramStart"/>
      <w:r>
        <w:rPr>
          <w:rFonts w:ascii="Times New Roman" w:eastAsia="SimSun" w:hAnsi="Times New Roman" w:cs="Times New Roman"/>
        </w:rPr>
        <w:t>IV.In</w:t>
      </w:r>
      <w:proofErr w:type="spellEnd"/>
      <w:proofErr w:type="gramEnd"/>
      <w:r>
        <w:rPr>
          <w:rFonts w:ascii="Times New Roman" w:eastAsia="SimSun" w:hAnsi="Times New Roman" w:cs="Times New Roman"/>
        </w:rPr>
        <w:t xml:space="preserve"> this study, two new series of quinoline–heterocycle hybrids incorporating either a 1,3,4-oxadiazole or a 1,2,4-triazole ring were designed and synthesized to explore the combined structural attributes required for efficient type II topoisomerase inhibition. The hybrids </w:t>
      </w:r>
      <w:r>
        <w:rPr>
          <w:rFonts w:ascii="Times New Roman" w:eastAsia="SimSun" w:hAnsi="Times New Roman" w:cs="Times New Roman"/>
        </w:rPr>
        <w:t>were prepared through modular synthetic routes involving construction of hydrazide intermediates followed by heterocycle formation and subsequent coupling with functionalized quinoline cores. All compounds were characterized by NMR and HRMS. Antibacterial activities were evaluated against Gram-positive and Gram-negative pathogens using broth microdilution assays. Several hybrids demonstrated promising MIC values, with oxadiazole derivatives generally showing stronger activity against Gram-positive strains. In vitro enzyme assays revealed clear dose-dependent inhibition of DNA gyrase and topoisomerase IV, confirming the mechanistic basis of antibacterial action. SAR analysis indicated that electron-withdrawing substituents, optimal linker length and heterocycle orientation significantly influenced the biological profile. Cytotoxicity assays on mammalian cell lines suggested good selectivity for the most active analogues. Overall, the study identifies quinoline-oxadiazole and quinoline-triazole hybrids as potential lead molecules for further development of antibacterial agents targeting bacterial type II topoisomerases. Quinoline derivatives were prepared starting from commercially available 2-chloroquinoline or 2-</w:t>
      </w:r>
      <w:r>
        <w:rPr>
          <w:rFonts w:ascii="Times New Roman" w:eastAsia="SimSun" w:hAnsi="Times New Roman" w:cs="Times New Roman"/>
        </w:rPr>
        <w:lastRenderedPageBreak/>
        <w:t xml:space="preserve">aminoquinoline precursors. 1,3,4-Oxadiazoles were formed via cyclodehydration of corresponding hydrazide intermediates with carboxylic acid derivatives under standard conditions (e.g., </w:t>
      </w:r>
      <w:proofErr w:type="spellStart"/>
      <w:r>
        <w:rPr>
          <w:rFonts w:ascii="Times New Roman" w:eastAsia="SimSun" w:hAnsi="Times New Roman" w:cs="Times New Roman"/>
        </w:rPr>
        <w:t>POCl</w:t>
      </w:r>
      <w:proofErr w:type="spellEnd"/>
      <w:r>
        <w:rPr>
          <w:rFonts w:ascii="Times New Roman" w:eastAsia="SimSun" w:hAnsi="Times New Roman" w:cs="Times New Roman"/>
        </w:rPr>
        <w:t>₃ or EDC/</w:t>
      </w:r>
      <w:proofErr w:type="spellStart"/>
      <w:r>
        <w:rPr>
          <w:rFonts w:ascii="Times New Roman" w:eastAsia="SimSun" w:hAnsi="Times New Roman" w:cs="Times New Roman"/>
        </w:rPr>
        <w:t>HOBt</w:t>
      </w:r>
      <w:proofErr w:type="spellEnd"/>
      <w:r>
        <w:rPr>
          <w:rFonts w:ascii="Times New Roman" w:eastAsia="SimSun" w:hAnsi="Times New Roman" w:cs="Times New Roman"/>
        </w:rPr>
        <w:t xml:space="preserve"> mediated cyclization). 1,2,4-Triazoles were prepared by condensation of hydrazine derivatives with appropriate nitriles or via cyclization of acid hydrazides with formamide derivatives. Key hybrids were assembled by coupling the quinoline fragment to the heterocyclic unit through amide or ether linkers using established coupling reagents (</w:t>
      </w:r>
      <w:proofErr w:type="spellStart"/>
      <w:r>
        <w:rPr>
          <w:rFonts w:ascii="Times New Roman" w:eastAsia="SimSun" w:hAnsi="Times New Roman" w:cs="Times New Roman"/>
        </w:rPr>
        <w:t>EDC·HCl</w:t>
      </w:r>
      <w:proofErr w:type="spellEnd"/>
      <w:r>
        <w:rPr>
          <w:rFonts w:ascii="Times New Roman" w:eastAsia="SimSun" w:hAnsi="Times New Roman" w:cs="Times New Roman"/>
        </w:rPr>
        <w:t>/</w:t>
      </w:r>
      <w:proofErr w:type="spellStart"/>
      <w:r>
        <w:rPr>
          <w:rFonts w:ascii="Times New Roman" w:eastAsia="SimSun" w:hAnsi="Times New Roman" w:cs="Times New Roman"/>
        </w:rPr>
        <w:t>HOBt</w:t>
      </w:r>
      <w:proofErr w:type="spellEnd"/>
      <w:r>
        <w:rPr>
          <w:rFonts w:ascii="Times New Roman" w:eastAsia="SimSun" w:hAnsi="Times New Roman" w:cs="Times New Roman"/>
        </w:rPr>
        <w:t xml:space="preserve"> or DCC). Products were purified by flash chromatography and characterized by ¹H/¹³C NMR and HRMS.</w:t>
      </w:r>
    </w:p>
    <w:p w14:paraId="3944E881" w14:textId="77777777" w:rsidR="002E28C1" w:rsidRDefault="00000000">
      <w:pPr>
        <w:spacing w:line="360" w:lineRule="auto"/>
        <w:jc w:val="both"/>
        <w:rPr>
          <w:rFonts w:ascii="Times New Roman" w:hAnsi="Times New Roman" w:cs="Times New Roman"/>
        </w:rPr>
      </w:pPr>
      <w:r>
        <w:rPr>
          <w:rFonts w:ascii="Times New Roman" w:hAnsi="Times New Roman" w:cs="Times New Roman"/>
          <w:noProof/>
        </w:rPr>
        <w:drawing>
          <wp:inline distT="0" distB="0" distL="114300" distR="114300" wp14:anchorId="004C745B" wp14:editId="101889F9">
            <wp:extent cx="2714625" cy="1080135"/>
            <wp:effectExtent l="0" t="0" r="13335" b="1905"/>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4"/>
                    <pic:cNvPicPr>
                      <a:picLocks noChangeAspect="1"/>
                    </pic:cNvPicPr>
                  </pic:nvPicPr>
                  <pic:blipFill>
                    <a:blip r:embed="rId23"/>
                    <a:stretch>
                      <a:fillRect/>
                    </a:stretch>
                  </pic:blipFill>
                  <pic:spPr>
                    <a:xfrm>
                      <a:off x="0" y="0"/>
                      <a:ext cx="2714625" cy="1080135"/>
                    </a:xfrm>
                    <a:prstGeom prst="rect">
                      <a:avLst/>
                    </a:prstGeom>
                    <a:noFill/>
                    <a:ln>
                      <a:noFill/>
                    </a:ln>
                  </pic:spPr>
                </pic:pic>
              </a:graphicData>
            </a:graphic>
          </wp:inline>
        </w:drawing>
      </w:r>
    </w:p>
    <w:p w14:paraId="23986BEB" w14:textId="77777777" w:rsidR="002E28C1" w:rsidRDefault="002E28C1">
      <w:pPr>
        <w:jc w:val="both"/>
        <w:rPr>
          <w:rFonts w:ascii="Times New Roman" w:hAnsi="Times New Roman" w:cs="Times New Roman"/>
        </w:rPr>
      </w:pPr>
    </w:p>
    <w:p w14:paraId="2970D2B1" w14:textId="77777777" w:rsidR="002E28C1" w:rsidRDefault="002E28C1">
      <w:pPr>
        <w:jc w:val="both"/>
        <w:rPr>
          <w:rFonts w:ascii="Times New Roman" w:hAnsi="Times New Roman" w:cs="Times New Roman"/>
        </w:rPr>
      </w:pPr>
    </w:p>
    <w:p w14:paraId="684F8C3E" w14:textId="77777777" w:rsidR="002E28C1" w:rsidRDefault="002E28C1">
      <w:pPr>
        <w:jc w:val="both"/>
        <w:rPr>
          <w:rFonts w:ascii="Times New Roman" w:hAnsi="Times New Roman" w:cs="Times New Roman"/>
        </w:rPr>
      </w:pPr>
    </w:p>
    <w:p w14:paraId="4EC40C5A" w14:textId="77777777" w:rsidR="002E28C1" w:rsidRDefault="002E28C1">
      <w:pPr>
        <w:jc w:val="both"/>
        <w:rPr>
          <w:rFonts w:ascii="Times New Roman" w:hAnsi="Times New Roman" w:cs="Times New Roman"/>
        </w:rPr>
      </w:pPr>
    </w:p>
    <w:p w14:paraId="521AACC4" w14:textId="77777777" w:rsidR="002E28C1" w:rsidRDefault="002E28C1">
      <w:pPr>
        <w:jc w:val="both"/>
        <w:rPr>
          <w:rFonts w:ascii="Times New Roman" w:hAnsi="Times New Roman" w:cs="Times New Roman"/>
        </w:rPr>
      </w:pPr>
    </w:p>
    <w:p w14:paraId="6462AD66" w14:textId="77777777" w:rsidR="002E28C1" w:rsidRDefault="00000000">
      <w:pPr>
        <w:jc w:val="both"/>
        <w:rPr>
          <w:rFonts w:ascii="Times New Roman" w:hAnsi="Times New Roman" w:cs="Times New Roman"/>
        </w:rPr>
      </w:pPr>
      <w:r>
        <w:rPr>
          <w:rFonts w:ascii="Times New Roman" w:hAnsi="Times New Roman" w:cs="Times New Roman"/>
        </w:rPr>
        <w:object w:dxaOrig="4801" w:dyaOrig="4557" w14:anchorId="1871D0CE">
          <v:shape id="_x0000_i1032" type="#_x0000_t75" style="width:240.05pt;height:228.1pt" o:ole="">
            <v:imagedata r:id="rId24" o:title=""/>
          </v:shape>
          <o:OLEObject Type="Embed" ProgID="ChemDraw.Document.6.0" ShapeID="_x0000_i1032" DrawAspect="Content" ObjectID="_1844342257" r:id="rId25"/>
        </w:object>
      </w:r>
    </w:p>
    <w:p w14:paraId="38A305DC" w14:textId="77777777" w:rsidR="002E28C1" w:rsidRDefault="00000000">
      <w:pPr>
        <w:pStyle w:val="Heading3"/>
        <w:keepNext w:val="0"/>
        <w:keepLines w:val="0"/>
        <w:spacing w:line="360" w:lineRule="auto"/>
        <w:jc w:val="both"/>
        <w:rPr>
          <w:rFonts w:ascii="Times New Roman" w:hAnsi="Times New Roman" w:cs="Times New Roman"/>
          <w:b/>
          <w:bCs/>
          <w:color w:val="auto"/>
          <w:sz w:val="24"/>
          <w:szCs w:val="24"/>
        </w:rPr>
      </w:pPr>
      <w:r>
        <w:rPr>
          <w:rStyle w:val="Strong"/>
          <w:rFonts w:ascii="Times New Roman" w:hAnsi="Times New Roman" w:cs="Times New Roman"/>
          <w:color w:val="auto"/>
          <w:sz w:val="24"/>
          <w:szCs w:val="24"/>
          <w:lang w:val="en-US"/>
        </w:rPr>
        <w:t>7.</w:t>
      </w:r>
      <w:r>
        <w:rPr>
          <w:rStyle w:val="Strong"/>
          <w:rFonts w:ascii="Times New Roman" w:hAnsi="Times New Roman" w:cs="Times New Roman"/>
          <w:color w:val="auto"/>
          <w:sz w:val="24"/>
          <w:szCs w:val="24"/>
        </w:rPr>
        <w:t xml:space="preserve"> Pharmacological Evaluation</w:t>
      </w:r>
    </w:p>
    <w:p w14:paraId="6124A0A9" w14:textId="77777777" w:rsidR="002E28C1" w:rsidRDefault="00000000">
      <w:pPr>
        <w:pStyle w:val="Heading4"/>
        <w:keepNext w:val="0"/>
        <w:keepLines w:val="0"/>
        <w:spacing w:line="360" w:lineRule="auto"/>
        <w:jc w:val="both"/>
        <w:rPr>
          <w:rFonts w:ascii="Times New Roman" w:hAnsi="Times New Roman" w:cs="Times New Roman"/>
        </w:rPr>
      </w:pPr>
      <w:r>
        <w:rPr>
          <w:rStyle w:val="Strong"/>
          <w:rFonts w:ascii="Times New Roman" w:hAnsi="Times New Roman" w:cs="Times New Roman"/>
          <w:i w:val="0"/>
          <w:iCs w:val="0"/>
          <w:color w:val="auto"/>
          <w:lang w:val="en-US"/>
        </w:rPr>
        <w:t>7.</w:t>
      </w:r>
      <w:r>
        <w:rPr>
          <w:rStyle w:val="Strong"/>
          <w:rFonts w:ascii="Times New Roman" w:hAnsi="Times New Roman" w:cs="Times New Roman"/>
          <w:i w:val="0"/>
          <w:iCs w:val="0"/>
          <w:color w:val="auto"/>
        </w:rPr>
        <w:t>1</w:t>
      </w:r>
      <w:r>
        <w:rPr>
          <w:rStyle w:val="Strong"/>
          <w:rFonts w:ascii="Times New Roman" w:hAnsi="Times New Roman" w:cs="Times New Roman"/>
          <w:i w:val="0"/>
          <w:iCs w:val="0"/>
          <w:color w:val="auto"/>
          <w:lang w:val="en-US"/>
        </w:rPr>
        <w:t xml:space="preserve"> </w:t>
      </w:r>
      <w:r>
        <w:rPr>
          <w:rStyle w:val="Strong"/>
          <w:rFonts w:ascii="Times New Roman" w:hAnsi="Times New Roman" w:cs="Times New Roman"/>
          <w:i w:val="0"/>
          <w:iCs w:val="0"/>
          <w:color w:val="auto"/>
        </w:rPr>
        <w:t xml:space="preserve">Inhibition of </w:t>
      </w:r>
      <w:r>
        <w:rPr>
          <w:rStyle w:val="Emphasis"/>
          <w:rFonts w:ascii="Times New Roman" w:hAnsi="Times New Roman" w:cs="Times New Roman"/>
          <w:b/>
          <w:bCs/>
          <w:color w:val="auto"/>
        </w:rPr>
        <w:t>E. coli</w:t>
      </w:r>
      <w:r>
        <w:rPr>
          <w:rStyle w:val="Strong"/>
          <w:rFonts w:ascii="Times New Roman" w:hAnsi="Times New Roman" w:cs="Times New Roman"/>
          <w:i w:val="0"/>
          <w:iCs w:val="0"/>
          <w:color w:val="auto"/>
        </w:rPr>
        <w:t xml:space="preserve"> DNA Gyrase</w:t>
      </w:r>
      <w:r>
        <w:rPr>
          <w:rStyle w:val="Strong"/>
          <w:rFonts w:ascii="Times New Roman" w:hAnsi="Times New Roman" w:cs="Times New Roman"/>
          <w:b w:val="0"/>
          <w:bCs w:val="0"/>
          <w:i w:val="0"/>
          <w:iCs w:val="0"/>
          <w:color w:val="auto"/>
          <w:lang w:val="en-US"/>
        </w:rPr>
        <w:t xml:space="preserve">: </w:t>
      </w:r>
      <w:r>
        <w:rPr>
          <w:rFonts w:ascii="Times New Roman" w:hAnsi="Times New Roman" w:cs="Times New Roman"/>
          <w:i w:val="0"/>
          <w:iCs w:val="0"/>
          <w:color w:val="auto"/>
        </w:rPr>
        <w:t xml:space="preserve">All synthesized molecules </w:t>
      </w:r>
      <w:r>
        <w:rPr>
          <w:rFonts w:ascii="Times New Roman" w:hAnsi="Times New Roman" w:cs="Times New Roman"/>
          <w:color w:val="auto"/>
          <w:lang w:val="en-US"/>
        </w:rPr>
        <w:t>(</w:t>
      </w:r>
      <w:proofErr w:type="spellStart"/>
      <w:r>
        <w:rPr>
          <w:rFonts w:ascii="Times New Roman" w:hAnsi="Times New Roman" w:cs="Times New Roman"/>
          <w:color w:val="auto"/>
          <w:lang w:val="en-US"/>
        </w:rPr>
        <w:t>Hofny</w:t>
      </w:r>
      <w:proofErr w:type="spellEnd"/>
      <w:r>
        <w:rPr>
          <w:rFonts w:ascii="Times New Roman" w:hAnsi="Times New Roman" w:cs="Times New Roman"/>
          <w:color w:val="auto"/>
          <w:lang w:val="en-US"/>
        </w:rPr>
        <w:t xml:space="preserve">- et-al 2021) </w:t>
      </w:r>
      <w:r>
        <w:rPr>
          <w:rFonts w:ascii="Times New Roman" w:hAnsi="Times New Roman" w:cs="Times New Roman"/>
          <w:i w:val="0"/>
          <w:iCs w:val="0"/>
          <w:color w:val="auto"/>
        </w:rPr>
        <w:t xml:space="preserve">were screened for their ability to inhibit </w:t>
      </w:r>
      <w:r>
        <w:rPr>
          <w:rStyle w:val="Emphasis"/>
          <w:rFonts w:ascii="Times New Roman" w:hAnsi="Times New Roman" w:cs="Times New Roman"/>
          <w:color w:val="auto"/>
        </w:rPr>
        <w:t>E. coli</w:t>
      </w:r>
      <w:r>
        <w:rPr>
          <w:rFonts w:ascii="Times New Roman" w:hAnsi="Times New Roman" w:cs="Times New Roman"/>
          <w:i w:val="0"/>
          <w:iCs w:val="0"/>
          <w:color w:val="auto"/>
        </w:rPr>
        <w:t xml:space="preserve"> DNA gyrase using a supercoiling assay, as previously </w:t>
      </w:r>
      <w:proofErr w:type="gramStart"/>
      <w:r>
        <w:rPr>
          <w:rFonts w:ascii="Times New Roman" w:hAnsi="Times New Roman" w:cs="Times New Roman"/>
          <w:i w:val="0"/>
          <w:iCs w:val="0"/>
          <w:color w:val="auto"/>
        </w:rPr>
        <w:t xml:space="preserve">described </w:t>
      </w:r>
      <w:r>
        <w:rPr>
          <w:rFonts w:ascii="Times New Roman" w:hAnsi="Times New Roman" w:cs="Times New Roman"/>
          <w:i w:val="0"/>
          <w:iCs w:val="0"/>
          <w:color w:val="auto"/>
          <w:lang w:val="en-US"/>
        </w:rPr>
        <w:t>.</w:t>
      </w:r>
      <w:proofErr w:type="gramEnd"/>
      <w:r>
        <w:rPr>
          <w:rFonts w:ascii="Times New Roman" w:hAnsi="Times New Roman" w:cs="Times New Roman"/>
          <w:i w:val="0"/>
          <w:iCs w:val="0"/>
          <w:color w:val="auto"/>
        </w:rPr>
        <w:t xml:space="preserve"> The inhibitory effects were expressed either as residual enzyme activity (RA) at 1 µM or as IC₅₀ values for compounds that reduced activity</w:t>
      </w:r>
      <w:r>
        <w:rPr>
          <w:rFonts w:ascii="Times New Roman" w:hAnsi="Times New Roman" w:cs="Times New Roman"/>
          <w:i w:val="0"/>
          <w:iCs w:val="0"/>
          <w:color w:val="auto"/>
          <w:lang w:val="en-US"/>
        </w:rPr>
        <w:t xml:space="preserve"> </w:t>
      </w:r>
      <w:r>
        <w:rPr>
          <w:rFonts w:ascii="Times New Roman" w:hAnsi="Times New Roman" w:cs="Times New Roman"/>
          <w:i w:val="0"/>
          <w:iCs w:val="0"/>
          <w:color w:val="auto"/>
        </w:rPr>
        <w:t>below 50</w:t>
      </w:r>
      <w:proofErr w:type="gramStart"/>
      <w:r>
        <w:rPr>
          <w:rFonts w:ascii="Times New Roman" w:hAnsi="Times New Roman" w:cs="Times New Roman"/>
          <w:i w:val="0"/>
          <w:iCs w:val="0"/>
          <w:color w:val="auto"/>
        </w:rPr>
        <w:t>% .</w:t>
      </w:r>
      <w:proofErr w:type="gramEnd"/>
      <w:r>
        <w:rPr>
          <w:rFonts w:ascii="Times New Roman" w:hAnsi="Times New Roman" w:cs="Times New Roman"/>
          <w:i w:val="0"/>
          <w:iCs w:val="0"/>
          <w:color w:val="auto"/>
          <w:lang w:val="en-US"/>
        </w:rPr>
        <w:t xml:space="preserve"> </w:t>
      </w:r>
      <w:r>
        <w:rPr>
          <w:rFonts w:ascii="Times New Roman" w:hAnsi="Times New Roman" w:cs="Times New Roman"/>
          <w:i w:val="0"/>
          <w:iCs w:val="0"/>
          <w:color w:val="auto"/>
        </w:rPr>
        <w:t>A group of derivatives—specifically 4</w:t>
      </w:r>
      <w:r>
        <w:rPr>
          <w:rFonts w:ascii="Times New Roman" w:hAnsi="Times New Roman" w:cs="Times New Roman"/>
          <w:i w:val="0"/>
          <w:iCs w:val="0"/>
          <w:color w:val="auto"/>
          <w:lang w:val="en-US"/>
        </w:rPr>
        <w:t xml:space="preserve"> with different substituents on R </w:t>
      </w:r>
      <w:r>
        <w:rPr>
          <w:rFonts w:ascii="Times New Roman" w:hAnsi="Times New Roman" w:cs="Times New Roman"/>
          <w:i w:val="0"/>
          <w:iCs w:val="0"/>
          <w:color w:val="auto"/>
        </w:rPr>
        <w:t xml:space="preserve">—displayed stronger inhibition than the reference drug novobiocin (IC₅₀ = 170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rPr>
        <w:t xml:space="preserve">), achieving low-nanomolar IC₅₀ values (approximately 90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rPr>
        <w:t xml:space="preserve">, except 8e at 180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rPr>
        <w:t xml:space="preserve">). Notably, four of the most potent molecules </w:t>
      </w:r>
      <w:r>
        <w:rPr>
          <w:rFonts w:ascii="Times New Roman" w:hAnsi="Times New Roman" w:cs="Times New Roman"/>
          <w:i w:val="0"/>
          <w:iCs w:val="0"/>
          <w:color w:val="auto"/>
          <w:lang w:val="en-US"/>
        </w:rPr>
        <w:t xml:space="preserve">4 with different </w:t>
      </w:r>
      <w:proofErr w:type="spellStart"/>
      <w:proofErr w:type="gramStart"/>
      <w:r>
        <w:rPr>
          <w:rFonts w:ascii="Times New Roman" w:hAnsi="Times New Roman" w:cs="Times New Roman"/>
          <w:i w:val="0"/>
          <w:iCs w:val="0"/>
          <w:color w:val="auto"/>
          <w:lang w:val="en-US"/>
        </w:rPr>
        <w:t>substituens</w:t>
      </w:r>
      <w:proofErr w:type="spellEnd"/>
      <w:r>
        <w:rPr>
          <w:rFonts w:ascii="Times New Roman" w:hAnsi="Times New Roman" w:cs="Times New Roman"/>
          <w:i w:val="0"/>
          <w:iCs w:val="0"/>
          <w:color w:val="auto"/>
          <w:lang w:val="en-US"/>
        </w:rPr>
        <w:t xml:space="preserve"> </w:t>
      </w:r>
      <w:r>
        <w:rPr>
          <w:rFonts w:ascii="Times New Roman" w:hAnsi="Times New Roman" w:cs="Times New Roman"/>
          <w:i w:val="0"/>
          <w:iCs w:val="0"/>
          <w:color w:val="auto"/>
        </w:rPr>
        <w:t xml:space="preserve"> shared</w:t>
      </w:r>
      <w:proofErr w:type="gramEnd"/>
      <w:r>
        <w:rPr>
          <w:rFonts w:ascii="Times New Roman" w:hAnsi="Times New Roman" w:cs="Times New Roman"/>
          <w:i w:val="0"/>
          <w:iCs w:val="0"/>
          <w:color w:val="auto"/>
        </w:rPr>
        <w:t xml:space="preserve"> the 1,3,4-oxadiazole scaffold (X = O, Fig. 1). This heterocycle appeared to outperform the phenyl-1,2,4-triazole </w:t>
      </w:r>
      <w:proofErr w:type="spellStart"/>
      <w:r>
        <w:rPr>
          <w:rFonts w:ascii="Times New Roman" w:hAnsi="Times New Roman" w:cs="Times New Roman"/>
          <w:i w:val="0"/>
          <w:iCs w:val="0"/>
          <w:color w:val="auto"/>
        </w:rPr>
        <w:t>analogs</w:t>
      </w:r>
      <w:proofErr w:type="spellEnd"/>
      <w:r>
        <w:rPr>
          <w:rFonts w:ascii="Times New Roman" w:hAnsi="Times New Roman" w:cs="Times New Roman"/>
          <w:i w:val="0"/>
          <w:iCs w:val="0"/>
          <w:color w:val="auto"/>
        </w:rPr>
        <w:t xml:space="preserve"> (X = N-Ph, Fig. 1), likely because the bulkier triazole-phenyl group does not fit optimally in the </w:t>
      </w:r>
      <w:r>
        <w:rPr>
          <w:rFonts w:ascii="Times New Roman" w:hAnsi="Times New Roman" w:cs="Times New Roman"/>
          <w:i w:val="0"/>
          <w:iCs w:val="0"/>
          <w:color w:val="auto"/>
        </w:rPr>
        <w:lastRenderedPageBreak/>
        <w:t>gyrase binding pocket.</w:t>
      </w:r>
      <w:r>
        <w:rPr>
          <w:rFonts w:ascii="Times New Roman" w:hAnsi="Times New Roman" w:cs="Times New Roman"/>
          <w:i w:val="0"/>
          <w:iCs w:val="0"/>
          <w:color w:val="auto"/>
          <w:lang w:val="en-US"/>
        </w:rPr>
        <w:t xml:space="preserve"> </w:t>
      </w:r>
      <w:r>
        <w:rPr>
          <w:rFonts w:ascii="Times New Roman" w:hAnsi="Times New Roman" w:cs="Times New Roman"/>
          <w:i w:val="0"/>
          <w:iCs w:val="0"/>
          <w:color w:val="auto"/>
        </w:rPr>
        <w:t>Among the most active inhibitors, compounds 4</w:t>
      </w:r>
      <w:r>
        <w:rPr>
          <w:rFonts w:ascii="Times New Roman" w:hAnsi="Times New Roman" w:cs="Times New Roman"/>
          <w:i w:val="0"/>
          <w:iCs w:val="0"/>
          <w:color w:val="auto"/>
          <w:lang w:val="en-US"/>
        </w:rPr>
        <w:t xml:space="preserve"> with </w:t>
      </w:r>
      <w:proofErr w:type="spellStart"/>
      <w:r>
        <w:rPr>
          <w:rFonts w:ascii="Times New Roman" w:hAnsi="Times New Roman" w:cs="Times New Roman"/>
          <w:i w:val="0"/>
          <w:iCs w:val="0"/>
          <w:color w:val="auto"/>
          <w:lang w:val="en-US"/>
        </w:rPr>
        <w:t>cabonyl</w:t>
      </w:r>
      <w:proofErr w:type="spellEnd"/>
      <w:r>
        <w:rPr>
          <w:rFonts w:ascii="Times New Roman" w:hAnsi="Times New Roman" w:cs="Times New Roman"/>
          <w:i w:val="0"/>
          <w:iCs w:val="0"/>
          <w:color w:val="auto"/>
          <w:lang w:val="en-US"/>
        </w:rPr>
        <w:t xml:space="preserve"> group </w:t>
      </w:r>
      <w:r>
        <w:rPr>
          <w:rFonts w:ascii="Times New Roman" w:hAnsi="Times New Roman" w:cs="Times New Roman"/>
          <w:i w:val="0"/>
          <w:iCs w:val="0"/>
          <w:color w:val="auto"/>
        </w:rPr>
        <w:t xml:space="preserve">exhibited IC₅₀ values of 34, 26, and 32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rPr>
        <w:t xml:space="preserve">, respectively. These molecules incorporate a phenacyl substituent, a 1,3,4-oxadiazole-5-thiol fragment, and a phenyl-quinoline core, suggesting that this structural combination is highly </w:t>
      </w:r>
      <w:proofErr w:type="spellStart"/>
      <w:r>
        <w:rPr>
          <w:rFonts w:ascii="Times New Roman" w:hAnsi="Times New Roman" w:cs="Times New Roman"/>
          <w:i w:val="0"/>
          <w:iCs w:val="0"/>
          <w:color w:val="auto"/>
        </w:rPr>
        <w:t>favorable</w:t>
      </w:r>
      <w:proofErr w:type="spellEnd"/>
      <w:r>
        <w:rPr>
          <w:rFonts w:ascii="Times New Roman" w:hAnsi="Times New Roman" w:cs="Times New Roman"/>
          <w:i w:val="0"/>
          <w:iCs w:val="0"/>
          <w:color w:val="auto"/>
        </w:rPr>
        <w:t xml:space="preserve"> for gyrase inhibition. The presence of a substituted or unsubstituted benzyl substituent also enhanced activity: compounds </w:t>
      </w:r>
      <w:r>
        <w:rPr>
          <w:rFonts w:ascii="Times New Roman" w:hAnsi="Times New Roman" w:cs="Times New Roman"/>
          <w:i w:val="0"/>
          <w:iCs w:val="0"/>
          <w:color w:val="auto"/>
          <w:lang w:val="en-US"/>
        </w:rPr>
        <w:t xml:space="preserve">4 </w:t>
      </w:r>
      <w:proofErr w:type="spellStart"/>
      <w:r>
        <w:rPr>
          <w:rFonts w:ascii="Times New Roman" w:hAnsi="Times New Roman" w:cs="Times New Roman"/>
          <w:i w:val="0"/>
          <w:iCs w:val="0"/>
          <w:color w:val="auto"/>
          <w:lang w:val="en-US"/>
        </w:rPr>
        <w:t>withl</w:t>
      </w:r>
      <w:proofErr w:type="spellEnd"/>
      <w:r>
        <w:rPr>
          <w:rFonts w:ascii="Times New Roman" w:hAnsi="Times New Roman" w:cs="Times New Roman"/>
          <w:i w:val="0"/>
          <w:iCs w:val="0"/>
          <w:color w:val="auto"/>
          <w:lang w:val="en-US"/>
        </w:rPr>
        <w:t xml:space="preserve"> </w:t>
      </w:r>
      <w:proofErr w:type="spellStart"/>
      <w:proofErr w:type="gramStart"/>
      <w:r>
        <w:rPr>
          <w:rFonts w:ascii="Times New Roman" w:hAnsi="Times New Roman" w:cs="Times New Roman"/>
          <w:i w:val="0"/>
          <w:iCs w:val="0"/>
          <w:color w:val="auto"/>
          <w:lang w:val="en-US"/>
        </w:rPr>
        <w:t>ong</w:t>
      </w:r>
      <w:proofErr w:type="spellEnd"/>
      <w:r>
        <w:rPr>
          <w:rFonts w:ascii="Times New Roman" w:hAnsi="Times New Roman" w:cs="Times New Roman"/>
          <w:i w:val="0"/>
          <w:iCs w:val="0"/>
          <w:color w:val="auto"/>
          <w:lang w:val="en-US"/>
        </w:rPr>
        <w:t xml:space="preserve">  alkyl</w:t>
      </w:r>
      <w:proofErr w:type="gramEnd"/>
      <w:r>
        <w:rPr>
          <w:rFonts w:ascii="Times New Roman" w:hAnsi="Times New Roman" w:cs="Times New Roman"/>
          <w:i w:val="0"/>
          <w:iCs w:val="0"/>
          <w:color w:val="auto"/>
          <w:lang w:val="en-US"/>
        </w:rPr>
        <w:t xml:space="preserve"> chain </w:t>
      </w:r>
      <w:r>
        <w:rPr>
          <w:rFonts w:ascii="Times New Roman" w:hAnsi="Times New Roman" w:cs="Times New Roman"/>
          <w:i w:val="0"/>
          <w:iCs w:val="0"/>
          <w:color w:val="auto"/>
        </w:rPr>
        <w:t xml:space="preserve">achieved IC₅₀ values of 400 and 380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rPr>
        <w:t>, respectively. In contrast, simple alkyl substituents at the</w:t>
      </w:r>
      <w:r>
        <w:rPr>
          <w:rFonts w:ascii="Times New Roman" w:hAnsi="Times New Roman" w:cs="Times New Roman"/>
          <w:i w:val="0"/>
          <w:iCs w:val="0"/>
        </w:rPr>
        <w:t xml:space="preserve"> </w:t>
      </w:r>
      <w:r>
        <w:rPr>
          <w:rFonts w:ascii="Times New Roman" w:hAnsi="Times New Roman" w:cs="Times New Roman"/>
          <w:i w:val="0"/>
          <w:iCs w:val="0"/>
          <w:color w:val="auto"/>
        </w:rPr>
        <w:t>same position—such as methyl or ethyl —produced only moderate inhibition (RA = 58% and 64%).</w:t>
      </w:r>
      <w:r>
        <w:rPr>
          <w:rFonts w:ascii="Times New Roman" w:hAnsi="Times New Roman" w:cs="Times New Roman"/>
          <w:i w:val="0"/>
          <w:iCs w:val="0"/>
          <w:color w:val="auto"/>
          <w:lang w:val="en-US"/>
        </w:rPr>
        <w:t xml:space="preserve"> </w:t>
      </w:r>
      <w:r>
        <w:rPr>
          <w:rFonts w:ascii="Times New Roman" w:hAnsi="Times New Roman" w:cs="Times New Roman"/>
        </w:rPr>
        <w:t>Co</w:t>
      </w:r>
      <w:r>
        <w:rPr>
          <w:rFonts w:ascii="Times New Roman" w:hAnsi="Times New Roman" w:cs="Times New Roman"/>
          <w:i w:val="0"/>
          <w:iCs w:val="0"/>
          <w:color w:val="auto"/>
        </w:rPr>
        <w:t xml:space="preserve">mpounds bearing morpholine or </w:t>
      </w:r>
      <w:proofErr w:type="spellStart"/>
      <w:r>
        <w:rPr>
          <w:rFonts w:ascii="Times New Roman" w:hAnsi="Times New Roman" w:cs="Times New Roman"/>
          <w:i w:val="0"/>
          <w:iCs w:val="0"/>
          <w:color w:val="auto"/>
        </w:rPr>
        <w:t>dimethylaminoethyl</w:t>
      </w:r>
      <w:proofErr w:type="spellEnd"/>
      <w:r>
        <w:rPr>
          <w:rFonts w:ascii="Times New Roman" w:hAnsi="Times New Roman" w:cs="Times New Roman"/>
          <w:i w:val="0"/>
          <w:iCs w:val="0"/>
          <w:color w:val="auto"/>
        </w:rPr>
        <w:t xml:space="preserve"> side chains were largely inactive at 1 µM, with RA values of 89% and 100%. From the 1,3,4-oxadiazole-2-thione series, only compound 5e (R₁ = NH–C₆H₄-3-F) demonstrated nanomolar potency, yielding an IC₅₀ of 90 </w:t>
      </w:r>
      <w:proofErr w:type="spellStart"/>
      <w:r>
        <w:rPr>
          <w:rFonts w:ascii="Times New Roman" w:hAnsi="Times New Roman" w:cs="Times New Roman"/>
          <w:i w:val="0"/>
          <w:iCs w:val="0"/>
          <w:color w:val="auto"/>
        </w:rPr>
        <w:t>nM.</w:t>
      </w:r>
      <w:proofErr w:type="spellEnd"/>
      <w:r>
        <w:rPr>
          <w:rFonts w:ascii="Times New Roman" w:hAnsi="Times New Roman" w:cs="Times New Roman"/>
          <w:i w:val="0"/>
          <w:iCs w:val="0"/>
          <w:color w:val="auto"/>
          <w:lang w:val="en-US"/>
        </w:rPr>
        <w:t xml:space="preserve"> </w:t>
      </w:r>
      <w:r>
        <w:rPr>
          <w:rFonts w:ascii="Times New Roman" w:hAnsi="Times New Roman" w:cs="Times New Roman"/>
          <w:i w:val="0"/>
          <w:iCs w:val="0"/>
          <w:color w:val="auto"/>
        </w:rPr>
        <w:t xml:space="preserve">Compounds with sub-micromolar IC₅₀ values were also evaluated against </w:t>
      </w:r>
      <w:r>
        <w:rPr>
          <w:rStyle w:val="Emphasis"/>
          <w:rFonts w:ascii="Times New Roman" w:hAnsi="Times New Roman" w:cs="Times New Roman"/>
          <w:color w:val="auto"/>
        </w:rPr>
        <w:t>S. aureus</w:t>
      </w:r>
      <w:r>
        <w:rPr>
          <w:rFonts w:ascii="Times New Roman" w:hAnsi="Times New Roman" w:cs="Times New Roman"/>
          <w:i w:val="0"/>
          <w:iCs w:val="0"/>
          <w:color w:val="auto"/>
        </w:rPr>
        <w:t xml:space="preserve"> DNA gyrase as well as topoisomerase IV from both </w:t>
      </w:r>
      <w:r>
        <w:rPr>
          <w:rStyle w:val="Emphasis"/>
          <w:rFonts w:ascii="Times New Roman" w:hAnsi="Times New Roman" w:cs="Times New Roman"/>
          <w:color w:val="auto"/>
        </w:rPr>
        <w:t>E. coli</w:t>
      </w:r>
      <w:r>
        <w:rPr>
          <w:rFonts w:ascii="Times New Roman" w:hAnsi="Times New Roman" w:cs="Times New Roman"/>
          <w:i w:val="0"/>
          <w:iCs w:val="0"/>
          <w:color w:val="auto"/>
        </w:rPr>
        <w:t xml:space="preserve"> and </w:t>
      </w:r>
      <w:r>
        <w:rPr>
          <w:rStyle w:val="Emphasis"/>
          <w:rFonts w:ascii="Times New Roman" w:hAnsi="Times New Roman" w:cs="Times New Roman"/>
          <w:color w:val="auto"/>
        </w:rPr>
        <w:t xml:space="preserve">S. </w:t>
      </w:r>
      <w:proofErr w:type="gramStart"/>
      <w:r>
        <w:rPr>
          <w:rStyle w:val="Emphasis"/>
          <w:rFonts w:ascii="Times New Roman" w:hAnsi="Times New Roman" w:cs="Times New Roman"/>
          <w:color w:val="auto"/>
        </w:rPr>
        <w:t>aureus</w:t>
      </w:r>
      <w:r>
        <w:rPr>
          <w:rFonts w:ascii="Times New Roman" w:hAnsi="Times New Roman" w:cs="Times New Roman"/>
          <w:i w:val="0"/>
          <w:iCs w:val="0"/>
          <w:color w:val="auto"/>
        </w:rPr>
        <w:t xml:space="preserve"> .</w:t>
      </w:r>
      <w:proofErr w:type="gramEnd"/>
      <w:r>
        <w:rPr>
          <w:rFonts w:ascii="Times New Roman" w:hAnsi="Times New Roman" w:cs="Times New Roman"/>
          <w:i w:val="0"/>
          <w:iCs w:val="0"/>
          <w:color w:val="auto"/>
        </w:rPr>
        <w:t xml:space="preserve"> In general, their activity against </w:t>
      </w:r>
      <w:r>
        <w:rPr>
          <w:rStyle w:val="Emphasis"/>
          <w:rFonts w:ascii="Times New Roman" w:hAnsi="Times New Roman" w:cs="Times New Roman"/>
          <w:color w:val="auto"/>
        </w:rPr>
        <w:t>S. aureus</w:t>
      </w:r>
      <w:r>
        <w:rPr>
          <w:rFonts w:ascii="Times New Roman" w:hAnsi="Times New Roman" w:cs="Times New Roman"/>
          <w:i w:val="0"/>
          <w:iCs w:val="0"/>
          <w:color w:val="auto"/>
        </w:rPr>
        <w:t xml:space="preserve"> gyrase was weaker than against the </w:t>
      </w:r>
      <w:r>
        <w:rPr>
          <w:rStyle w:val="Emphasis"/>
          <w:rFonts w:ascii="Times New Roman" w:hAnsi="Times New Roman" w:cs="Times New Roman"/>
          <w:color w:val="auto"/>
        </w:rPr>
        <w:t>E. coli</w:t>
      </w:r>
      <w:r>
        <w:rPr>
          <w:rFonts w:ascii="Times New Roman" w:hAnsi="Times New Roman" w:cs="Times New Roman"/>
          <w:i w:val="0"/>
          <w:iCs w:val="0"/>
          <w:color w:val="auto"/>
        </w:rPr>
        <w:t xml:space="preserve"> enzyme. However, the three top performers—</w:t>
      </w:r>
      <w:r>
        <w:rPr>
          <w:rFonts w:ascii="Times New Roman" w:hAnsi="Times New Roman" w:cs="Times New Roman"/>
          <w:i w:val="0"/>
          <w:iCs w:val="0"/>
          <w:color w:val="auto"/>
          <w:lang w:val="en-US"/>
        </w:rPr>
        <w:t xml:space="preserve">compounds 4 with carbonyl as one of the </w:t>
      </w:r>
      <w:proofErr w:type="gramStart"/>
      <w:r>
        <w:rPr>
          <w:rFonts w:ascii="Times New Roman" w:hAnsi="Times New Roman" w:cs="Times New Roman"/>
          <w:i w:val="0"/>
          <w:iCs w:val="0"/>
          <w:color w:val="auto"/>
          <w:lang w:val="en-US"/>
        </w:rPr>
        <w:t>substituent</w:t>
      </w:r>
      <w:proofErr w:type="gramEnd"/>
      <w:r>
        <w:rPr>
          <w:rFonts w:ascii="Times New Roman" w:hAnsi="Times New Roman" w:cs="Times New Roman"/>
          <w:i w:val="0"/>
          <w:iCs w:val="0"/>
          <w:color w:val="auto"/>
        </w:rPr>
        <w:t xml:space="preserve">—retained good activity, giving IC₅₀ values below 1 </w:t>
      </w:r>
      <w:proofErr w:type="spellStart"/>
      <w:r>
        <w:rPr>
          <w:rFonts w:ascii="Times New Roman" w:hAnsi="Times New Roman" w:cs="Times New Roman"/>
          <w:i w:val="0"/>
          <w:iCs w:val="0"/>
          <w:color w:val="auto"/>
        </w:rPr>
        <w:t>μM</w:t>
      </w:r>
      <w:proofErr w:type="spellEnd"/>
      <w:r>
        <w:rPr>
          <w:rFonts w:ascii="Times New Roman" w:hAnsi="Times New Roman" w:cs="Times New Roman"/>
          <w:i w:val="0"/>
          <w:iCs w:val="0"/>
          <w:color w:val="auto"/>
        </w:rPr>
        <w:t xml:space="preserve"> (0.79, 0.24, and 0.49 </w:t>
      </w:r>
      <w:proofErr w:type="spellStart"/>
      <w:r>
        <w:rPr>
          <w:rFonts w:ascii="Times New Roman" w:hAnsi="Times New Roman" w:cs="Times New Roman"/>
          <w:i w:val="0"/>
          <w:iCs w:val="0"/>
          <w:color w:val="auto"/>
        </w:rPr>
        <w:t>μM</w:t>
      </w:r>
      <w:proofErr w:type="spellEnd"/>
      <w:r>
        <w:rPr>
          <w:rFonts w:ascii="Times New Roman" w:hAnsi="Times New Roman" w:cs="Times New Roman"/>
          <w:i w:val="0"/>
          <w:iCs w:val="0"/>
          <w:color w:val="auto"/>
        </w:rPr>
        <w:t xml:space="preserve">, respectively). Although these values indicate reduced potency </w:t>
      </w:r>
      <w:r>
        <w:rPr>
          <w:rFonts w:ascii="Times New Roman" w:hAnsi="Times New Roman" w:cs="Times New Roman"/>
          <w:i w:val="0"/>
          <w:iCs w:val="0"/>
          <w:color w:val="auto"/>
        </w:rPr>
        <w:t xml:space="preserve">relative to novobiocin (IC₅₀ = 0.041 </w:t>
      </w:r>
      <w:proofErr w:type="spellStart"/>
      <w:r>
        <w:rPr>
          <w:rFonts w:ascii="Times New Roman" w:hAnsi="Times New Roman" w:cs="Times New Roman"/>
          <w:i w:val="0"/>
          <w:iCs w:val="0"/>
          <w:color w:val="auto"/>
        </w:rPr>
        <w:t>μM</w:t>
      </w:r>
      <w:proofErr w:type="spellEnd"/>
      <w:r>
        <w:rPr>
          <w:rFonts w:ascii="Times New Roman" w:hAnsi="Times New Roman" w:cs="Times New Roman"/>
          <w:i w:val="0"/>
          <w:iCs w:val="0"/>
          <w:color w:val="auto"/>
        </w:rPr>
        <w:t>), they still represent meaningful inhibitory effects.</w:t>
      </w:r>
    </w:p>
    <w:p w14:paraId="55346822" w14:textId="77777777" w:rsidR="002E28C1" w:rsidRDefault="00000000">
      <w:pPr>
        <w:pStyle w:val="Heading3"/>
        <w:keepNext w:val="0"/>
        <w:keepLines w:val="0"/>
        <w:spacing w:line="360" w:lineRule="auto"/>
        <w:jc w:val="both"/>
        <w:rPr>
          <w:rStyle w:val="Strong"/>
          <w:rFonts w:ascii="Times New Roman" w:hAnsi="Times New Roman" w:cs="Times New Roman"/>
          <w:i/>
          <w:iCs/>
          <w:color w:val="auto"/>
          <w:sz w:val="24"/>
          <w:szCs w:val="24"/>
          <w:lang w:val="en-US"/>
        </w:rPr>
      </w:pPr>
      <w:r>
        <w:rPr>
          <w:rStyle w:val="Strong"/>
          <w:rFonts w:ascii="Times New Roman" w:hAnsi="Times New Roman" w:cs="Times New Roman"/>
          <w:i/>
          <w:iCs/>
          <w:color w:val="auto"/>
          <w:sz w:val="24"/>
          <w:szCs w:val="24"/>
          <w:lang w:val="en-US"/>
        </w:rPr>
        <w:t xml:space="preserve">7.2: </w:t>
      </w:r>
      <w:r>
        <w:rPr>
          <w:rStyle w:val="Strong"/>
          <w:rFonts w:ascii="Times New Roman" w:hAnsi="Times New Roman" w:cs="Times New Roman"/>
          <w:i/>
          <w:iCs/>
          <w:color w:val="auto"/>
          <w:sz w:val="24"/>
          <w:szCs w:val="24"/>
        </w:rPr>
        <w:t>Antibacterial Activity</w:t>
      </w:r>
      <w:r>
        <w:rPr>
          <w:rStyle w:val="Strong"/>
          <w:rFonts w:ascii="Times New Roman" w:hAnsi="Times New Roman" w:cs="Times New Roman"/>
          <w:i/>
          <w:iCs/>
          <w:color w:val="auto"/>
          <w:sz w:val="24"/>
          <w:szCs w:val="24"/>
          <w:lang w:val="en-US"/>
        </w:rPr>
        <w:t>:</w:t>
      </w:r>
    </w:p>
    <w:p w14:paraId="568BBA0A" w14:textId="77777777" w:rsidR="002E28C1" w:rsidRDefault="00000000">
      <w:pPr>
        <w:pStyle w:val="Heading3"/>
        <w:keepNext w:val="0"/>
        <w:keepLines w:val="0"/>
        <w:spacing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most promising </w:t>
      </w:r>
      <w:proofErr w:type="gramStart"/>
      <w:r>
        <w:rPr>
          <w:rFonts w:ascii="Times New Roman" w:hAnsi="Times New Roman" w:cs="Times New Roman"/>
          <w:color w:val="auto"/>
          <w:sz w:val="24"/>
          <w:szCs w:val="24"/>
        </w:rPr>
        <w:t>derivatives</w:t>
      </w:r>
      <w:r>
        <w:rPr>
          <w:rFonts w:ascii="Times New Roman" w:hAnsi="Times New Roman" w:cs="Times New Roman"/>
          <w:i/>
          <w:iCs/>
          <w:color w:val="auto"/>
          <w:sz w:val="24"/>
          <w:szCs w:val="24"/>
          <w:lang w:val="en-US"/>
        </w:rPr>
        <w:t>(</w:t>
      </w:r>
      <w:proofErr w:type="spellStart"/>
      <w:proofErr w:type="gramEnd"/>
      <w:r>
        <w:rPr>
          <w:rFonts w:ascii="Times New Roman" w:hAnsi="Times New Roman" w:cs="Times New Roman"/>
          <w:i/>
          <w:iCs/>
          <w:color w:val="auto"/>
          <w:sz w:val="24"/>
          <w:szCs w:val="24"/>
          <w:lang w:val="en-US"/>
        </w:rPr>
        <w:t>Hofny</w:t>
      </w:r>
      <w:proofErr w:type="spellEnd"/>
      <w:r>
        <w:rPr>
          <w:rFonts w:ascii="Times New Roman" w:hAnsi="Times New Roman" w:cs="Times New Roman"/>
          <w:i/>
          <w:iCs/>
          <w:color w:val="auto"/>
          <w:sz w:val="24"/>
          <w:szCs w:val="24"/>
          <w:lang w:val="en-US"/>
        </w:rPr>
        <w:t>- et-al 2021)</w:t>
      </w:r>
      <w:r>
        <w:rPr>
          <w:rFonts w:ascii="Times New Roman" w:hAnsi="Times New Roman" w:cs="Times New Roman"/>
          <w:color w:val="auto"/>
          <w:sz w:val="24"/>
          <w:szCs w:val="24"/>
        </w:rPr>
        <w:t>—</w:t>
      </w:r>
      <w:r>
        <w:rPr>
          <w:rFonts w:ascii="Times New Roman" w:hAnsi="Times New Roman" w:cs="Times New Roman"/>
          <w:color w:val="auto"/>
          <w:sz w:val="24"/>
          <w:szCs w:val="24"/>
          <w:lang w:val="en-US"/>
        </w:rPr>
        <w:t xml:space="preserve">of compound </w:t>
      </w:r>
      <w:proofErr w:type="gramStart"/>
      <w:r>
        <w:rPr>
          <w:rFonts w:ascii="Times New Roman" w:hAnsi="Times New Roman" w:cs="Times New Roman"/>
          <w:color w:val="auto"/>
          <w:sz w:val="24"/>
          <w:szCs w:val="24"/>
          <w:lang w:val="en-US"/>
        </w:rPr>
        <w:t xml:space="preserve">4 </w:t>
      </w:r>
      <w:r>
        <w:rPr>
          <w:rFonts w:ascii="Times New Roman" w:hAnsi="Times New Roman" w:cs="Times New Roman"/>
          <w:color w:val="auto"/>
          <w:sz w:val="24"/>
          <w:szCs w:val="24"/>
        </w:rPr>
        <w:t xml:space="preserve"> and</w:t>
      </w:r>
      <w:proofErr w:type="gramEnd"/>
      <w:r>
        <w:rPr>
          <w:rFonts w:ascii="Times New Roman" w:hAnsi="Times New Roman" w:cs="Times New Roman"/>
          <w:color w:val="auto"/>
          <w:sz w:val="24"/>
          <w:szCs w:val="24"/>
        </w:rPr>
        <w:t xml:space="preserve"> 8—were further tested for antibacterial activity using the twofold serial dilution method [25], with ciprofloxacin serving as the standard drug</w:t>
      </w:r>
      <w:r>
        <w:rPr>
          <w:rFonts w:ascii="Times New Roman" w:hAnsi="Times New Roman" w:cs="Times New Roman"/>
          <w:color w:val="auto"/>
          <w:sz w:val="24"/>
          <w:szCs w:val="24"/>
          <w:lang w:val="en-US"/>
        </w:rPr>
        <w:t>.</w:t>
      </w:r>
      <w:r>
        <w:rPr>
          <w:rFonts w:ascii="Times New Roman" w:hAnsi="Times New Roman" w:cs="Times New Roman"/>
          <w:color w:val="auto"/>
          <w:sz w:val="24"/>
          <w:szCs w:val="24"/>
        </w:rPr>
        <w:t xml:space="preserve"> Overall, these compounds were more effective against Gram-positive than Gram-negative </w:t>
      </w:r>
      <w:proofErr w:type="spellStart"/>
      <w:proofErr w:type="gramStart"/>
      <w:r>
        <w:rPr>
          <w:rFonts w:ascii="Times New Roman" w:hAnsi="Times New Roman" w:cs="Times New Roman"/>
          <w:color w:val="auto"/>
          <w:sz w:val="24"/>
          <w:szCs w:val="24"/>
        </w:rPr>
        <w:t>organisms.Compound</w:t>
      </w:r>
      <w:proofErr w:type="spellEnd"/>
      <w:proofErr w:type="gramEnd"/>
      <w:r>
        <w:rPr>
          <w:rFonts w:ascii="Times New Roman" w:hAnsi="Times New Roman" w:cs="Times New Roman"/>
          <w:color w:val="auto"/>
          <w:sz w:val="24"/>
          <w:szCs w:val="24"/>
        </w:rPr>
        <w:t xml:space="preserve"> 4</w:t>
      </w:r>
      <w:r>
        <w:rPr>
          <w:rFonts w:ascii="Times New Roman" w:hAnsi="Times New Roman" w:cs="Times New Roman"/>
          <w:color w:val="auto"/>
          <w:sz w:val="24"/>
          <w:szCs w:val="24"/>
          <w:lang w:val="en-US"/>
        </w:rPr>
        <w:t xml:space="preserve"> with carbonyl as well as o methoxy group </w:t>
      </w:r>
      <w:r>
        <w:rPr>
          <w:rFonts w:ascii="Times New Roman" w:hAnsi="Times New Roman" w:cs="Times New Roman"/>
          <w:color w:val="auto"/>
          <w:sz w:val="24"/>
          <w:szCs w:val="24"/>
        </w:rPr>
        <w:t xml:space="preserve">emerged as the strongest antibacterial agent, showing a MIC of 10 ng/mL against </w:t>
      </w:r>
      <w:r>
        <w:rPr>
          <w:rStyle w:val="Emphasis"/>
          <w:rFonts w:ascii="Times New Roman" w:hAnsi="Times New Roman" w:cs="Times New Roman"/>
          <w:color w:val="auto"/>
          <w:sz w:val="24"/>
          <w:szCs w:val="24"/>
        </w:rPr>
        <w:t>S. aureus</w:t>
      </w:r>
      <w:r>
        <w:rPr>
          <w:rFonts w:ascii="Times New Roman" w:hAnsi="Times New Roman" w:cs="Times New Roman"/>
          <w:color w:val="auto"/>
          <w:sz w:val="24"/>
          <w:szCs w:val="24"/>
        </w:rPr>
        <w:t xml:space="preserve">, which is three times more potent than ciprofloxacin (MIC = 30 ng/mL). Against </w:t>
      </w:r>
      <w:r>
        <w:rPr>
          <w:rStyle w:val="Emphasis"/>
          <w:rFonts w:ascii="Times New Roman" w:hAnsi="Times New Roman" w:cs="Times New Roman"/>
          <w:color w:val="auto"/>
          <w:sz w:val="24"/>
          <w:szCs w:val="24"/>
        </w:rPr>
        <w:t>E. coli</w:t>
      </w:r>
      <w:r>
        <w:rPr>
          <w:rFonts w:ascii="Times New Roman" w:hAnsi="Times New Roman" w:cs="Times New Roman"/>
          <w:color w:val="auto"/>
          <w:sz w:val="24"/>
          <w:szCs w:val="24"/>
        </w:rPr>
        <w:t xml:space="preserve">, 4 </w:t>
      </w:r>
      <w:proofErr w:type="gramStart"/>
      <w:r>
        <w:rPr>
          <w:rFonts w:ascii="Times New Roman" w:hAnsi="Times New Roman" w:cs="Times New Roman"/>
          <w:color w:val="auto"/>
          <w:sz w:val="24"/>
          <w:szCs w:val="24"/>
          <w:lang w:val="en-US"/>
        </w:rPr>
        <w:t>carbonyl</w:t>
      </w:r>
      <w:proofErr w:type="gramEnd"/>
      <w:r>
        <w:rPr>
          <w:rFonts w:ascii="Times New Roman" w:hAnsi="Times New Roman" w:cs="Times New Roman"/>
          <w:color w:val="auto"/>
          <w:sz w:val="24"/>
          <w:szCs w:val="24"/>
          <w:lang w:val="en-US"/>
        </w:rPr>
        <w:t xml:space="preserve"> as well as o methoxy group </w:t>
      </w:r>
      <w:r>
        <w:rPr>
          <w:rFonts w:ascii="Times New Roman" w:hAnsi="Times New Roman" w:cs="Times New Roman"/>
          <w:color w:val="auto"/>
          <w:sz w:val="24"/>
          <w:szCs w:val="24"/>
        </w:rPr>
        <w:t>also performed well with a MIC of 25 ng/mL, compared with 60 ng/mL for ciprofloxacin. Compound 4</w:t>
      </w:r>
      <w:r>
        <w:rPr>
          <w:rFonts w:ascii="Times New Roman" w:hAnsi="Times New Roman" w:cs="Times New Roman"/>
          <w:color w:val="auto"/>
          <w:sz w:val="24"/>
          <w:szCs w:val="24"/>
          <w:lang w:val="en-US"/>
        </w:rPr>
        <w:t xml:space="preserve"> with bromo as one of the </w:t>
      </w:r>
      <w:proofErr w:type="spellStart"/>
      <w:r>
        <w:rPr>
          <w:rFonts w:ascii="Times New Roman" w:hAnsi="Times New Roman" w:cs="Times New Roman"/>
          <w:color w:val="auto"/>
          <w:sz w:val="24"/>
          <w:szCs w:val="24"/>
          <w:lang w:val="en-US"/>
        </w:rPr>
        <w:t>sbstituents</w:t>
      </w:r>
      <w:proofErr w:type="spellEnd"/>
      <w:r>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rPr>
        <w:t xml:space="preserve">displayed MIC values similar to ciprofloxacin across the tested bacterial </w:t>
      </w:r>
      <w:proofErr w:type="spellStart"/>
      <w:proofErr w:type="gramStart"/>
      <w:r>
        <w:rPr>
          <w:rFonts w:ascii="Times New Roman" w:hAnsi="Times New Roman" w:cs="Times New Roman"/>
          <w:color w:val="auto"/>
          <w:sz w:val="24"/>
          <w:szCs w:val="24"/>
        </w:rPr>
        <w:t>strains.On</w:t>
      </w:r>
      <w:proofErr w:type="spellEnd"/>
      <w:proofErr w:type="gramEnd"/>
      <w:r>
        <w:rPr>
          <w:rFonts w:ascii="Times New Roman" w:hAnsi="Times New Roman" w:cs="Times New Roman"/>
          <w:color w:val="auto"/>
          <w:sz w:val="24"/>
          <w:szCs w:val="24"/>
        </w:rPr>
        <w:t xml:space="preserve"> the other hand, compounds 5</w:t>
      </w:r>
      <w:r>
        <w:rPr>
          <w:rFonts w:ascii="Times New Roman" w:hAnsi="Times New Roman" w:cs="Times New Roman"/>
          <w:color w:val="auto"/>
          <w:sz w:val="24"/>
          <w:szCs w:val="24"/>
          <w:lang w:val="en-US"/>
        </w:rPr>
        <w:t xml:space="preserve"> and 8 </w:t>
      </w:r>
      <w:proofErr w:type="spellStart"/>
      <w:r>
        <w:rPr>
          <w:rFonts w:ascii="Times New Roman" w:hAnsi="Times New Roman" w:cs="Times New Roman"/>
          <w:color w:val="auto"/>
          <w:sz w:val="24"/>
          <w:szCs w:val="24"/>
          <w:lang w:val="en-US"/>
        </w:rPr>
        <w:t>wih</w:t>
      </w:r>
      <w:proofErr w:type="spellEnd"/>
      <w:r>
        <w:rPr>
          <w:rFonts w:ascii="Times New Roman" w:hAnsi="Times New Roman" w:cs="Times New Roman"/>
          <w:color w:val="auto"/>
          <w:sz w:val="24"/>
          <w:szCs w:val="24"/>
          <w:lang w:val="en-US"/>
        </w:rPr>
        <w:t xml:space="preserve"> different </w:t>
      </w:r>
      <w:proofErr w:type="gramStart"/>
      <w:r>
        <w:rPr>
          <w:rFonts w:ascii="Times New Roman" w:hAnsi="Times New Roman" w:cs="Times New Roman"/>
          <w:color w:val="auto"/>
          <w:sz w:val="24"/>
          <w:szCs w:val="24"/>
          <w:lang w:val="en-US"/>
        </w:rPr>
        <w:t xml:space="preserve">substituent </w:t>
      </w:r>
      <w:r>
        <w:rPr>
          <w:rFonts w:ascii="Times New Roman" w:hAnsi="Times New Roman" w:cs="Times New Roman"/>
          <w:color w:val="auto"/>
          <w:sz w:val="24"/>
          <w:szCs w:val="24"/>
        </w:rPr>
        <w:t xml:space="preserve"> and</w:t>
      </w:r>
      <w:proofErr w:type="gramEnd"/>
      <w:r>
        <w:rPr>
          <w:rFonts w:ascii="Times New Roman" w:hAnsi="Times New Roman" w:cs="Times New Roman"/>
          <w:color w:val="auto"/>
          <w:sz w:val="24"/>
          <w:szCs w:val="24"/>
        </w:rPr>
        <w:t xml:space="preserve">  exhibited weak activity against </w:t>
      </w:r>
      <w:r>
        <w:rPr>
          <w:rStyle w:val="Emphasis"/>
          <w:rFonts w:ascii="Times New Roman" w:hAnsi="Times New Roman" w:cs="Times New Roman"/>
          <w:color w:val="auto"/>
          <w:sz w:val="24"/>
          <w:szCs w:val="24"/>
        </w:rPr>
        <w:t>B. subtilis</w:t>
      </w:r>
      <w:r>
        <w:rPr>
          <w:rFonts w:ascii="Times New Roman" w:hAnsi="Times New Roman" w:cs="Times New Roman"/>
          <w:color w:val="auto"/>
          <w:sz w:val="24"/>
          <w:szCs w:val="24"/>
        </w:rPr>
        <w:t xml:space="preserve"> and </w:t>
      </w:r>
      <w:r>
        <w:rPr>
          <w:rStyle w:val="Emphasis"/>
          <w:rFonts w:ascii="Times New Roman" w:hAnsi="Times New Roman" w:cs="Times New Roman"/>
          <w:color w:val="auto"/>
          <w:sz w:val="24"/>
          <w:szCs w:val="24"/>
        </w:rPr>
        <w:t>P. aeruginosa</w:t>
      </w:r>
      <w:r>
        <w:rPr>
          <w:rFonts w:ascii="Times New Roman" w:hAnsi="Times New Roman" w:cs="Times New Roman"/>
          <w:color w:val="auto"/>
          <w:sz w:val="24"/>
          <w:szCs w:val="24"/>
        </w:rPr>
        <w:t>, with MIC values exceeding 100 ng/</w:t>
      </w:r>
      <w:proofErr w:type="spellStart"/>
      <w:r>
        <w:rPr>
          <w:rFonts w:ascii="Times New Roman" w:hAnsi="Times New Roman" w:cs="Times New Roman"/>
          <w:color w:val="auto"/>
          <w:sz w:val="24"/>
          <w:szCs w:val="24"/>
        </w:rPr>
        <w:t>mL.</w:t>
      </w:r>
      <w:proofErr w:type="spellEnd"/>
      <w:r>
        <w:rPr>
          <w:rFonts w:ascii="Times New Roman" w:hAnsi="Times New Roman" w:cs="Times New Roman"/>
          <w:color w:val="auto"/>
          <w:sz w:val="24"/>
          <w:szCs w:val="24"/>
        </w:rPr>
        <w:t xml:space="preserve"> Compound 4</w:t>
      </w:r>
      <w:r>
        <w:rPr>
          <w:rFonts w:ascii="Times New Roman" w:hAnsi="Times New Roman" w:cs="Times New Roman"/>
          <w:color w:val="auto"/>
          <w:sz w:val="24"/>
          <w:szCs w:val="24"/>
          <w:lang w:val="en-US"/>
        </w:rPr>
        <w:t>with -CH</w:t>
      </w:r>
      <w:r>
        <w:rPr>
          <w:rFonts w:ascii="Times New Roman" w:hAnsi="Times New Roman" w:cs="Times New Roman"/>
          <w:color w:val="auto"/>
          <w:sz w:val="24"/>
          <w:szCs w:val="24"/>
          <w:vertAlign w:val="subscript"/>
          <w:lang w:val="en-US"/>
        </w:rPr>
        <w:t>2-</w:t>
      </w:r>
      <w:r>
        <w:rPr>
          <w:rFonts w:ascii="Times New Roman" w:hAnsi="Times New Roman" w:cs="Times New Roman"/>
          <w:color w:val="auto"/>
          <w:sz w:val="24"/>
          <w:szCs w:val="24"/>
          <w:lang w:val="en-US"/>
        </w:rPr>
        <w:t>CO-C</w:t>
      </w:r>
      <w:r>
        <w:rPr>
          <w:rFonts w:ascii="Times New Roman" w:hAnsi="Times New Roman" w:cs="Times New Roman"/>
          <w:color w:val="auto"/>
          <w:sz w:val="24"/>
          <w:szCs w:val="24"/>
          <w:vertAlign w:val="subscript"/>
          <w:lang w:val="en-US"/>
        </w:rPr>
        <w:t>2</w:t>
      </w:r>
      <w:r>
        <w:rPr>
          <w:rFonts w:ascii="Times New Roman" w:hAnsi="Times New Roman" w:cs="Times New Roman"/>
          <w:color w:val="auto"/>
          <w:sz w:val="24"/>
          <w:szCs w:val="24"/>
          <w:lang w:val="en-US"/>
        </w:rPr>
        <w:t>H</w:t>
      </w:r>
      <w:r>
        <w:rPr>
          <w:rFonts w:ascii="Times New Roman" w:hAnsi="Times New Roman" w:cs="Times New Roman"/>
          <w:color w:val="auto"/>
          <w:sz w:val="24"/>
          <w:szCs w:val="24"/>
          <w:vertAlign w:val="subscript"/>
          <w:lang w:val="en-US"/>
        </w:rPr>
        <w:t>5</w:t>
      </w:r>
      <w:r>
        <w:rPr>
          <w:rFonts w:ascii="Times New Roman" w:hAnsi="Times New Roman" w:cs="Times New Roman"/>
          <w:color w:val="auto"/>
          <w:sz w:val="24"/>
          <w:szCs w:val="24"/>
        </w:rPr>
        <w:t xml:space="preserve"> showed no measurable activity against the Gram-negative species tested. Docking validation confirmed that the computational protocol accurately reproduced the pose of the co-crystallized inhibitor, with an RMSD </w:t>
      </w:r>
      <w:r>
        <w:rPr>
          <w:rFonts w:ascii="Times New Roman" w:hAnsi="Times New Roman" w:cs="Times New Roman"/>
          <w:color w:val="auto"/>
          <w:sz w:val="24"/>
          <w:szCs w:val="24"/>
        </w:rPr>
        <w:lastRenderedPageBreak/>
        <w:t>of 1.07 Å and maintenance of essential binding interactions.</w:t>
      </w:r>
    </w:p>
    <w:p w14:paraId="496CFBBB" w14:textId="77777777" w:rsidR="002E28C1" w:rsidRDefault="00000000">
      <w:pPr>
        <w:pStyle w:val="Heading3"/>
        <w:keepNext w:val="0"/>
        <w:keepLines w:val="0"/>
        <w:spacing w:line="360" w:lineRule="auto"/>
        <w:jc w:val="both"/>
        <w:rPr>
          <w:rFonts w:ascii="Times New Roman" w:hAnsi="Times New Roman" w:cs="Times New Roman"/>
          <w:color w:val="auto"/>
          <w:lang w:val="en-US"/>
        </w:rPr>
      </w:pPr>
      <w:proofErr w:type="gramStart"/>
      <w:r>
        <w:rPr>
          <w:rStyle w:val="Strong"/>
          <w:rFonts w:ascii="Times New Roman" w:hAnsi="Times New Roman" w:cs="Times New Roman"/>
          <w:color w:val="auto"/>
          <w:lang w:val="en-US"/>
        </w:rPr>
        <w:t xml:space="preserve">8 </w:t>
      </w:r>
      <w:r>
        <w:rPr>
          <w:rStyle w:val="Strong"/>
          <w:rFonts w:ascii="Times New Roman" w:hAnsi="Times New Roman" w:cs="Times New Roman"/>
          <w:color w:val="auto"/>
          <w:sz w:val="24"/>
          <w:szCs w:val="24"/>
          <w:lang w:val="en-US"/>
        </w:rPr>
        <w:t>:</w:t>
      </w:r>
      <w:proofErr w:type="gramEnd"/>
      <w:r>
        <w:rPr>
          <w:rStyle w:val="Strong"/>
          <w:rFonts w:ascii="Times New Roman" w:hAnsi="Times New Roman" w:cs="Times New Roman"/>
          <w:color w:val="auto"/>
          <w:sz w:val="24"/>
          <w:szCs w:val="24"/>
          <w:lang w:val="en-US"/>
        </w:rPr>
        <w:t xml:space="preserve"> </w:t>
      </w:r>
      <w:r>
        <w:rPr>
          <w:rStyle w:val="Strong"/>
          <w:rFonts w:ascii="Times New Roman" w:hAnsi="Times New Roman" w:cs="Times New Roman"/>
          <w:color w:val="auto"/>
          <w:sz w:val="24"/>
          <w:szCs w:val="24"/>
        </w:rPr>
        <w:t xml:space="preserve"> </w:t>
      </w:r>
      <w:r>
        <w:rPr>
          <w:rStyle w:val="Strong"/>
          <w:rFonts w:ascii="Times New Roman" w:hAnsi="Times New Roman" w:cs="Times New Roman"/>
          <w:color w:val="auto"/>
          <w:sz w:val="24"/>
          <w:szCs w:val="24"/>
          <w:lang w:val="en-US"/>
        </w:rPr>
        <w:t>Oxadiazole linked imidazole moiety.</w:t>
      </w:r>
    </w:p>
    <w:p w14:paraId="75021690" w14:textId="77777777" w:rsidR="002E28C1" w:rsidRDefault="00000000">
      <w:pPr>
        <w:spacing w:line="360" w:lineRule="auto"/>
        <w:jc w:val="both"/>
        <w:rPr>
          <w:rFonts w:ascii="Times New Roman" w:hAnsi="Times New Roman" w:cs="Times New Roman"/>
        </w:rPr>
      </w:pPr>
      <w:r>
        <w:rPr>
          <w:rFonts w:ascii="Times New Roman" w:hAnsi="Times New Roman" w:cs="Times New Roman"/>
        </w:rPr>
        <w:object w:dxaOrig="3780" w:dyaOrig="1739" w14:anchorId="61642B48">
          <v:shape id="_x0000_i1033" type="#_x0000_t75" style="width:189pt;height:87.05pt" o:ole="">
            <v:imagedata r:id="rId26" o:title=""/>
            <o:lock v:ext="edit" aspectratio="f"/>
          </v:shape>
          <o:OLEObject Type="Embed" ProgID="ChemDraw.Document.6.0" ShapeID="_x0000_i1033" DrawAspect="Content" ObjectID="_1844342258" r:id="rId27"/>
        </w:object>
      </w:r>
    </w:p>
    <w:p w14:paraId="6C288626" w14:textId="77777777" w:rsidR="002E28C1" w:rsidRDefault="00000000">
      <w:pPr>
        <w:spacing w:line="360" w:lineRule="auto"/>
        <w:jc w:val="both"/>
        <w:rPr>
          <w:rStyle w:val="Strong"/>
          <w:rFonts w:ascii="Times New Roman" w:hAnsi="Times New Roman" w:cs="Times New Roman"/>
        </w:rPr>
      </w:pPr>
      <w:r>
        <w:rPr>
          <w:rFonts w:ascii="Times New Roman" w:hAnsi="Times New Roman" w:cs="Times New Roman"/>
        </w:rPr>
        <w:t>Imidazole–oxadiazole</w:t>
      </w:r>
      <w:r>
        <w:rPr>
          <w:rFonts w:ascii="Times New Roman" w:hAnsi="Times New Roman" w:cs="Times New Roman"/>
          <w:i/>
          <w:iCs/>
        </w:rPr>
        <w:t xml:space="preserve"> </w:t>
      </w:r>
      <w:r>
        <w:rPr>
          <w:rFonts w:ascii="Times New Roman" w:hAnsi="Times New Roman" w:cs="Times New Roman"/>
          <w:i/>
          <w:iCs/>
          <w:lang w:val="en-US"/>
        </w:rPr>
        <w:t>(</w:t>
      </w:r>
      <w:proofErr w:type="spellStart"/>
      <w:r>
        <w:rPr>
          <w:rFonts w:ascii="Times New Roman" w:hAnsi="Times New Roman" w:cs="Times New Roman"/>
          <w:i/>
          <w:iCs/>
        </w:rPr>
        <w:t>Anjanareddy</w:t>
      </w:r>
      <w:proofErr w:type="spellEnd"/>
      <w:r>
        <w:rPr>
          <w:rFonts w:ascii="Times New Roman" w:hAnsi="Times New Roman" w:cs="Times New Roman"/>
          <w:i/>
          <w:iCs/>
        </w:rPr>
        <w:t xml:space="preserve"> Basava Reddy</w:t>
      </w:r>
      <w:r>
        <w:rPr>
          <w:rFonts w:ascii="Times New Roman" w:hAnsi="Times New Roman" w:cs="Times New Roman"/>
          <w:i/>
          <w:iCs/>
          <w:lang w:val="en-US"/>
        </w:rPr>
        <w:t xml:space="preserve"> et-al 2024) </w:t>
      </w:r>
      <w:r>
        <w:rPr>
          <w:rFonts w:ascii="Times New Roman" w:hAnsi="Times New Roman" w:cs="Times New Roman"/>
          <w:lang w:val="en-US"/>
        </w:rPr>
        <w:t>h</w:t>
      </w:r>
      <w:proofErr w:type="spellStart"/>
      <w:r>
        <w:rPr>
          <w:rFonts w:ascii="Times New Roman" w:hAnsi="Times New Roman" w:cs="Times New Roman"/>
        </w:rPr>
        <w:t>ybrids</w:t>
      </w:r>
      <w:proofErr w:type="spellEnd"/>
      <w:r>
        <w:rPr>
          <w:rFonts w:ascii="Times New Roman" w:hAnsi="Times New Roman" w:cs="Times New Roman"/>
        </w:rPr>
        <w:t xml:space="preserve"> have emerged as promising antimicrobial candidates due to the complementary pharmacological features of both heterocycles. Imidazole contributes hydrogen-bonding capacity, metal-binding ability, and moderate polarity, enabling strong interactions with microbial enzymes. The 1,3,4‑oxadiazole ring enhances metabolic stability, improves lipophilicity, and acts as a rigid linker that supports optimal molecular alignment in biological </w:t>
      </w:r>
      <w:proofErr w:type="spellStart"/>
      <w:proofErr w:type="gramStart"/>
      <w:r>
        <w:rPr>
          <w:rFonts w:ascii="Times New Roman" w:hAnsi="Times New Roman" w:cs="Times New Roman"/>
        </w:rPr>
        <w:t>targets.The</w:t>
      </w:r>
      <w:proofErr w:type="spellEnd"/>
      <w:proofErr w:type="gramEnd"/>
      <w:r>
        <w:rPr>
          <w:rFonts w:ascii="Times New Roman" w:hAnsi="Times New Roman" w:cs="Times New Roman"/>
        </w:rPr>
        <w:t xml:space="preserve"> design of imidazole–oxadiazole hybrids typically focuses on merging these heterocycles through direct linkage or spacer-based strategies, often combined with aromatic substituents to enhance cell permeability. Synthetic approaches commonly involve constructing the oxadiazole ring via cyclodehydration of hydrazides, followed by coupling with imidazole derivatives using nucleophilic substitution or condensation </w:t>
      </w:r>
      <w:proofErr w:type="spellStart"/>
      <w:proofErr w:type="gramStart"/>
      <w:r>
        <w:rPr>
          <w:rFonts w:ascii="Times New Roman" w:hAnsi="Times New Roman" w:cs="Times New Roman"/>
        </w:rPr>
        <w:t>methods.These</w:t>
      </w:r>
      <w:proofErr w:type="spellEnd"/>
      <w:proofErr w:type="gramEnd"/>
      <w:r>
        <w:rPr>
          <w:rFonts w:ascii="Times New Roman" w:hAnsi="Times New Roman" w:cs="Times New Roman"/>
        </w:rPr>
        <w:t xml:space="preserve"> hybrids generally satisfy key drug-likeness criteria, including suitable molecular weight, </w:t>
      </w:r>
      <w:r>
        <w:rPr>
          <w:rFonts w:ascii="Times New Roman" w:hAnsi="Times New Roman" w:cs="Times New Roman"/>
        </w:rPr>
        <w:t xml:space="preserve">balanced polarity, and </w:t>
      </w:r>
      <w:proofErr w:type="spellStart"/>
      <w:r>
        <w:rPr>
          <w:rFonts w:ascii="Times New Roman" w:hAnsi="Times New Roman" w:cs="Times New Roman"/>
        </w:rPr>
        <w:t>favorable</w:t>
      </w:r>
      <w:proofErr w:type="spellEnd"/>
      <w:r>
        <w:rPr>
          <w:rFonts w:ascii="Times New Roman" w:hAnsi="Times New Roman" w:cs="Times New Roman"/>
        </w:rPr>
        <w:t xml:space="preserve"> predicted absorption profiles. In silico pharmacophore models highlight essential features such as aromatic interactions, hydrogen-bond acceptors, and hydrophobic pockets, which collectively support antimicrobial activity. Molecular docking studies further demonstrate strong binding affinities toward microbial targets such as DNA gyrase, topoisomerase IV, and dihydrofolate reductase, with stable interactions driven by π-stacking, hydrogen bonding, and hydrophobic contacts.</w:t>
      </w:r>
    </w:p>
    <w:p w14:paraId="69AF591D" w14:textId="77777777" w:rsidR="002E28C1" w:rsidRDefault="00000000">
      <w:pPr>
        <w:pStyle w:val="NormalWeb"/>
        <w:spacing w:line="360" w:lineRule="auto"/>
        <w:jc w:val="both"/>
      </w:pPr>
      <w:r>
        <w:object w:dxaOrig="4905" w:dyaOrig="2383" w14:anchorId="5ADD613F">
          <v:shape id="_x0000_i1034" type="#_x0000_t75" style="width:245.25pt;height:119.25pt" o:ole="">
            <v:imagedata r:id="rId28" o:title=""/>
            <o:lock v:ext="edit" aspectratio="f"/>
          </v:shape>
          <o:OLEObject Type="Embed" ProgID="ChemDraw.Document.6.0" ShapeID="_x0000_i1034" DrawAspect="Content" ObjectID="_1844342259" r:id="rId29"/>
        </w:object>
      </w:r>
      <w:r>
        <w:t>Overall, imidazole–oxadiazole hybrids represent a valuable scaffold combination for antimicrobial drug discovery due to their structural versatility, favorable drug-like properties, and promising in vitro and in silico performance.</w:t>
      </w:r>
    </w:p>
    <w:p w14:paraId="06FA8A60" w14:textId="77777777" w:rsidR="002E28C1" w:rsidRDefault="00000000">
      <w:pPr>
        <w:numPr>
          <w:ilvl w:val="0"/>
          <w:numId w:val="2"/>
        </w:numPr>
        <w:jc w:val="both"/>
        <w:rPr>
          <w:rFonts w:ascii="Times New Roman" w:eastAsia="CharisSIL" w:hAnsi="Times New Roman" w:cs="Times New Roman"/>
          <w:kern w:val="0"/>
          <w:lang w:val="en-US" w:eastAsia="zh-CN" w:bidi="ar"/>
        </w:rPr>
      </w:pPr>
      <w:r>
        <w:rPr>
          <w:rFonts w:ascii="Times New Roman" w:eastAsia="CharisSIL" w:hAnsi="Times New Roman" w:cs="Times New Roman"/>
          <w:b/>
          <w:bCs/>
          <w:kern w:val="0"/>
          <w:lang w:val="en-US" w:eastAsia="zh-CN" w:bidi="ar"/>
        </w:rPr>
        <w:t>1,2,3-triazole linked nucleoside</w:t>
      </w:r>
      <w:r>
        <w:rPr>
          <w:rFonts w:ascii="Times New Roman" w:eastAsia="CharisSIL" w:hAnsi="Times New Roman" w:cs="Times New Roman"/>
          <w:kern w:val="0"/>
          <w:lang w:val="en-US" w:eastAsia="zh-CN" w:bidi="ar"/>
        </w:rPr>
        <w:t>s</w:t>
      </w:r>
    </w:p>
    <w:p w14:paraId="549B3A5F" w14:textId="77777777" w:rsidR="002E28C1" w:rsidRDefault="00000000">
      <w:pPr>
        <w:jc w:val="both"/>
        <w:rPr>
          <w:rFonts w:ascii="Times New Roman" w:eastAsia="CharisSIL" w:hAnsi="Times New Roman" w:cs="Times New Roman"/>
          <w:color w:val="0000FF"/>
          <w:kern w:val="0"/>
          <w:lang w:val="en-US" w:eastAsia="zh-CN" w:bidi="ar"/>
        </w:rPr>
      </w:pPr>
      <w:r>
        <w:rPr>
          <w:rFonts w:ascii="Times New Roman" w:eastAsia="CharisSIL" w:hAnsi="Times New Roman" w:cs="Times New Roman"/>
          <w:color w:val="0000FF"/>
          <w:kern w:val="0"/>
          <w:lang w:val="en-US" w:eastAsia="zh-CN" w:bidi="ar"/>
        </w:rPr>
        <w:object w:dxaOrig="4348" w:dyaOrig="2186" w14:anchorId="79E8961C">
          <v:shape id="_x0000_i1035" type="#_x0000_t75" style="width:217.4pt;height:109.5pt" o:ole="">
            <v:imagedata r:id="rId30" o:title=""/>
            <o:lock v:ext="edit" aspectratio="f"/>
          </v:shape>
          <o:OLEObject Type="Embed" ProgID="ChemDraw.Document.6.0" ShapeID="_x0000_i1035" DrawAspect="Content" ObjectID="_1844342260" r:id="rId31"/>
        </w:object>
      </w:r>
    </w:p>
    <w:p w14:paraId="621B42E0" w14:textId="77777777" w:rsidR="002E28C1" w:rsidRDefault="00000000">
      <w:pPr>
        <w:pStyle w:val="NormalWeb"/>
        <w:spacing w:line="360" w:lineRule="auto"/>
        <w:jc w:val="both"/>
      </w:pPr>
      <w:r>
        <w:lastRenderedPageBreak/>
        <w:t xml:space="preserve">The preparation and biological assessment of natural nucleoside derivatives over the past several decades </w:t>
      </w:r>
      <w:proofErr w:type="gramStart"/>
      <w:r>
        <w:t>has</w:t>
      </w:r>
      <w:proofErr w:type="gramEnd"/>
      <w:r>
        <w:t xml:space="preserve"> clearly demonstrated their value as fundamental building blocks for the development of anticancer and antiviral therapeutics. At present, numerous nucleoside analogues available in the pharmaceutical market are successfully employed in the treatment of a wide range of diseases, including viral infections, parasitic disorders, cancer, and even bacterial and fungal </w:t>
      </w:r>
      <w:proofErr w:type="gramStart"/>
      <w:r>
        <w:t>illnesses .In</w:t>
      </w:r>
      <w:proofErr w:type="gramEnd"/>
      <w:r>
        <w:t xml:space="preserve"> recent years, the triazole nucleus has attracted considerable interest in the search for new antibiotic agents, particularly because it is a structural component of clinically used drugs such as tazobactam, </w:t>
      </w:r>
      <w:proofErr w:type="spellStart"/>
      <w:r>
        <w:t>cefatrizine</w:t>
      </w:r>
      <w:proofErr w:type="spellEnd"/>
      <w:r>
        <w:t xml:space="preserve">, and cephalosporins. Consequently, the 1,2,3-triazole unit has emerged as a highly effective pharmacophoric motif with an important role in bioconjugation strategies. Recent investigations have further revealed that nucleoside analogues containing a triazole moiety exhibit a wide spectrum of biological activities, including antimicrobial </w:t>
      </w:r>
      <w:proofErr w:type="gramStart"/>
      <w:r>
        <w:t>antiproliferative  antiviral</w:t>
      </w:r>
      <w:proofErr w:type="gramEnd"/>
      <w:r>
        <w:t xml:space="preserve">—notably as reverse transcriptase inhibitors [20]—and antitumor </w:t>
      </w:r>
      <w:proofErr w:type="gramStart"/>
      <w:r>
        <w:t>effects  Several</w:t>
      </w:r>
      <w:proofErr w:type="gramEnd"/>
      <w:r>
        <w:t xml:space="preserve"> triazole-based nucleoside derivatives have been synthesized and reported to show strong anti-HIV-1 activity, including effectiveness against multiple HIV mutant </w:t>
      </w:r>
      <w:proofErr w:type="gramStart"/>
      <w:r>
        <w:t>strains .</w:t>
      </w:r>
      <w:proofErr w:type="gramEnd"/>
      <w:r>
        <w:t xml:space="preserve"> </w:t>
      </w:r>
      <w:r>
        <w:rPr>
          <w:i/>
          <w:iCs/>
        </w:rPr>
        <w:t>(Zhou and co-workers)</w:t>
      </w:r>
      <w:r>
        <w:t xml:space="preserve"> prepared a series of 1,2,3-triazole-substituted thymidine </w:t>
      </w:r>
      <w:proofErr w:type="gramStart"/>
      <w:r>
        <w:t>analogues ,</w:t>
      </w:r>
      <w:proofErr w:type="gramEnd"/>
      <w:r>
        <w:t xml:space="preserve"> which </w:t>
      </w:r>
      <w:r>
        <w:t xml:space="preserve">demonstrated significant antiviral properties [ Additionally, </w:t>
      </w:r>
      <w:r>
        <w:rPr>
          <w:i/>
          <w:iCs/>
        </w:rPr>
        <w:t>(Wang et al.) r</w:t>
      </w:r>
      <w:r>
        <w:t xml:space="preserve">eported the synthesis of 3′-(1,2,3-triazol-1-yl)-3′-deoxythymidine derivatives, bearing a 5′-O-tert-butyldimethylsilyl protecting group and bulky aryl substituents at the C-5 position of the triazole ring. These compounds selectively inhibited Dengue and West Nile viruses at low micromolar concentrations, without exhibiting inhibitory effects against HIV-1. Similarly, </w:t>
      </w:r>
      <w:r>
        <w:rPr>
          <w:i/>
          <w:iCs/>
        </w:rPr>
        <w:t>(</w:t>
      </w:r>
      <w:proofErr w:type="spellStart"/>
      <w:r>
        <w:rPr>
          <w:i/>
          <w:iCs/>
        </w:rPr>
        <w:t>Kosiova</w:t>
      </w:r>
      <w:proofErr w:type="spellEnd"/>
      <w:r>
        <w:rPr>
          <w:i/>
          <w:iCs/>
        </w:rPr>
        <w:t xml:space="preserve"> and co-workers)</w:t>
      </w:r>
      <w:r>
        <w:t xml:space="preserve"> synthesized triazole-linked coumarin-nucleoside </w:t>
      </w:r>
      <w:proofErr w:type="gramStart"/>
      <w:r>
        <w:t>analogues ,</w:t>
      </w:r>
      <w:proofErr w:type="gramEnd"/>
      <w:r>
        <w:t xml:space="preserve"> which were found to be useful as fluorescent probes and signaling molecules Encouraged by these findings and as a continuation of our earlier research efforts discovering new therapeutic candidates and a series of 1-aryl-1,2,3-triazole-linked nucleoside conjugates.</w:t>
      </w:r>
    </w:p>
    <w:p w14:paraId="4AE16896" w14:textId="77777777" w:rsidR="002E28C1" w:rsidRDefault="00000000">
      <w:pPr>
        <w:pStyle w:val="NormalWeb"/>
        <w:spacing w:line="360" w:lineRule="auto"/>
        <w:jc w:val="both"/>
        <w:rPr>
          <w:b/>
          <w:bCs/>
        </w:rPr>
      </w:pPr>
      <w:r>
        <w:rPr>
          <w:b/>
          <w:bCs/>
        </w:rPr>
        <w:t xml:space="preserve">10: Antimicrobial Evaluation: </w:t>
      </w:r>
    </w:p>
    <w:p w14:paraId="44761AD5" w14:textId="77777777" w:rsidR="002E28C1" w:rsidRDefault="00000000">
      <w:pPr>
        <w:pStyle w:val="NormalWeb"/>
        <w:spacing w:line="360" w:lineRule="auto"/>
        <w:jc w:val="both"/>
      </w:pPr>
      <w:proofErr w:type="gramStart"/>
      <w:r>
        <w:t>All  studies</w:t>
      </w:r>
      <w:proofErr w:type="gramEnd"/>
      <w:r>
        <w:t xml:space="preserve"> reported strong in vitro activities against Gram-positive and Gram-negative bacteria, with some extending to antifungal assays. Combined studies along with the activity and mechanism of action.</w:t>
      </w:r>
    </w:p>
    <w:p w14:paraId="01F03D24" w14:textId="77777777" w:rsidR="002E28C1" w:rsidRDefault="00000000">
      <w:pPr>
        <w:pStyle w:val="NormalWeb"/>
        <w:spacing w:line="360" w:lineRule="auto"/>
        <w:jc w:val="both"/>
      </w:pPr>
      <w:r>
        <w:rPr>
          <w:noProof/>
        </w:rPr>
        <w:lastRenderedPageBreak/>
        <w:drawing>
          <wp:inline distT="0" distB="0" distL="114300" distR="114300" wp14:anchorId="6AD3A369" wp14:editId="5430DB12">
            <wp:extent cx="2630170" cy="4520565"/>
            <wp:effectExtent l="0" t="0" r="635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pic:cNvPicPr>
                  </pic:nvPicPr>
                  <pic:blipFill>
                    <a:blip r:embed="rId32"/>
                    <a:stretch>
                      <a:fillRect/>
                    </a:stretch>
                  </pic:blipFill>
                  <pic:spPr>
                    <a:xfrm>
                      <a:off x="0" y="0"/>
                      <a:ext cx="2630170" cy="4520565"/>
                    </a:xfrm>
                    <a:prstGeom prst="rect">
                      <a:avLst/>
                    </a:prstGeom>
                    <a:noFill/>
                    <a:ln>
                      <a:noFill/>
                    </a:ln>
                  </pic:spPr>
                </pic:pic>
              </a:graphicData>
            </a:graphic>
          </wp:inline>
        </w:drawing>
      </w:r>
    </w:p>
    <w:p w14:paraId="786646CC" w14:textId="77777777" w:rsidR="002E28C1" w:rsidRDefault="00000000">
      <w:pPr>
        <w:pStyle w:val="NormalWeb"/>
        <w:spacing w:beforeAutospacing="0" w:afterAutospacing="0"/>
        <w:rPr>
          <w:sz w:val="28"/>
          <w:szCs w:val="28"/>
        </w:rPr>
      </w:pPr>
      <w:r>
        <w:rPr>
          <w:rFonts w:eastAsia="mn-ea"/>
          <w:color w:val="000000"/>
          <w:kern w:val="24"/>
          <w:sz w:val="18"/>
          <w:szCs w:val="18"/>
        </w:rPr>
        <w:t xml:space="preserve">Table </w:t>
      </w:r>
      <w:proofErr w:type="gramStart"/>
      <w:r>
        <w:rPr>
          <w:rFonts w:eastAsia="mn-ea"/>
          <w:color w:val="000000"/>
          <w:kern w:val="24"/>
          <w:sz w:val="18"/>
          <w:szCs w:val="18"/>
        </w:rPr>
        <w:t>1  comparative</w:t>
      </w:r>
      <w:proofErr w:type="gramEnd"/>
      <w:r>
        <w:rPr>
          <w:rFonts w:eastAsia="mn-ea"/>
          <w:color w:val="000000"/>
          <w:kern w:val="24"/>
          <w:sz w:val="18"/>
          <w:szCs w:val="18"/>
        </w:rPr>
        <w:t xml:space="preserve"> study on </w:t>
      </w:r>
      <w:proofErr w:type="spellStart"/>
      <w:r>
        <w:rPr>
          <w:rFonts w:eastAsia="mn-ea"/>
          <w:color w:val="000000"/>
          <w:kern w:val="24"/>
          <w:sz w:val="18"/>
          <w:szCs w:val="18"/>
        </w:rPr>
        <w:t>anti microbial</w:t>
      </w:r>
      <w:proofErr w:type="spellEnd"/>
      <w:r>
        <w:rPr>
          <w:rFonts w:eastAsia="mn-ea"/>
          <w:color w:val="000000"/>
          <w:kern w:val="24"/>
          <w:sz w:val="18"/>
          <w:szCs w:val="18"/>
        </w:rPr>
        <w:t xml:space="preserve"> </w:t>
      </w:r>
      <w:proofErr w:type="spellStart"/>
      <w:r>
        <w:rPr>
          <w:rFonts w:eastAsia="mn-ea"/>
          <w:color w:val="000000"/>
          <w:kern w:val="24"/>
          <w:sz w:val="18"/>
          <w:szCs w:val="18"/>
        </w:rPr>
        <w:t>evalution</w:t>
      </w:r>
      <w:proofErr w:type="spellEnd"/>
      <w:r>
        <w:rPr>
          <w:rFonts w:eastAsia="mn-ea"/>
          <w:color w:val="000000"/>
          <w:kern w:val="24"/>
          <w:sz w:val="18"/>
          <w:szCs w:val="18"/>
        </w:rPr>
        <w:t xml:space="preserve"> based on the recent literature</w:t>
      </w:r>
      <w:r>
        <w:rPr>
          <w:rFonts w:ascii="Aptos" w:eastAsia="mn-ea" w:hAnsi="Aptos" w:cs="mn-cs"/>
          <w:color w:val="000000"/>
          <w:kern w:val="24"/>
          <w:sz w:val="36"/>
          <w:szCs w:val="36"/>
        </w:rPr>
        <w:t xml:space="preserve"> </w:t>
      </w:r>
    </w:p>
    <w:p w14:paraId="06B6ED36" w14:textId="77777777" w:rsidR="002E28C1" w:rsidRDefault="00000000">
      <w:pPr>
        <w:pStyle w:val="Heading2"/>
        <w:spacing w:line="360" w:lineRule="auto"/>
        <w:jc w:val="both"/>
        <w:rPr>
          <w:rFonts w:ascii="Times New Roman" w:hAnsi="Times New Roman" w:cs="Times New Roman"/>
          <w:b/>
          <w:bCs/>
          <w:color w:val="auto"/>
          <w:sz w:val="24"/>
          <w:szCs w:val="24"/>
          <w:lang w:val="en-US"/>
        </w:rPr>
      </w:pPr>
      <w:bookmarkStart w:id="0" w:name="mechanistic-insights"/>
      <w:r>
        <w:rPr>
          <w:rFonts w:ascii="Times New Roman" w:hAnsi="Times New Roman" w:cs="Times New Roman"/>
          <w:b/>
          <w:bCs/>
          <w:color w:val="auto"/>
          <w:sz w:val="24"/>
          <w:szCs w:val="24"/>
          <w:lang w:val="en-US"/>
        </w:rPr>
        <w:t xml:space="preserve">11. </w:t>
      </w:r>
      <w:r>
        <w:rPr>
          <w:rFonts w:ascii="Times New Roman" w:hAnsi="Times New Roman" w:cs="Times New Roman"/>
          <w:b/>
          <w:bCs/>
          <w:color w:val="auto"/>
          <w:sz w:val="24"/>
          <w:szCs w:val="24"/>
        </w:rPr>
        <w:t xml:space="preserve"> Mechanistic Insights</w:t>
      </w:r>
      <w:r>
        <w:rPr>
          <w:rFonts w:ascii="Times New Roman" w:hAnsi="Times New Roman" w:cs="Times New Roman"/>
          <w:b/>
          <w:bCs/>
          <w:color w:val="auto"/>
          <w:sz w:val="24"/>
          <w:szCs w:val="24"/>
          <w:lang w:val="en-US"/>
        </w:rPr>
        <w:t>:</w:t>
      </w:r>
    </w:p>
    <w:p w14:paraId="32B6E6CB" w14:textId="77777777" w:rsidR="002E28C1" w:rsidRDefault="00000000">
      <w:pPr>
        <w:pStyle w:val="FirstParagraph"/>
        <w:spacing w:line="360" w:lineRule="auto"/>
        <w:jc w:val="both"/>
        <w:rPr>
          <w:rFonts w:ascii="Times New Roman" w:hAnsi="Times New Roman" w:cs="Times New Roman"/>
        </w:rPr>
      </w:pPr>
      <w:r>
        <w:rPr>
          <w:rFonts w:ascii="Times New Roman" w:hAnsi="Times New Roman" w:cs="Times New Roman"/>
        </w:rPr>
        <w:t xml:space="preserve">Docking and enzyme inhibition studies confirm </w:t>
      </w:r>
      <w:r>
        <w:rPr>
          <w:rFonts w:ascii="Times New Roman" w:hAnsi="Times New Roman" w:cs="Times New Roman"/>
          <w:i/>
          <w:iCs/>
        </w:rPr>
        <w:t>DNA gyrase/topoisomerase IV</w:t>
      </w:r>
      <w:r>
        <w:rPr>
          <w:rFonts w:ascii="Times New Roman" w:hAnsi="Times New Roman" w:cs="Times New Roman"/>
        </w:rPr>
        <w:t xml:space="preserve"> as primary targets for most hybrids </w:t>
      </w:r>
      <w:r>
        <w:rPr>
          <w:rFonts w:ascii="Times New Roman" w:hAnsi="Times New Roman" w:cs="Times New Roman"/>
          <w:i/>
          <w:iCs/>
        </w:rPr>
        <w:t>(</w:t>
      </w:r>
      <w:proofErr w:type="spellStart"/>
      <w:r>
        <w:rPr>
          <w:rFonts w:ascii="Times New Roman" w:hAnsi="Times New Roman" w:cs="Times New Roman"/>
          <w:i/>
          <w:iCs/>
        </w:rPr>
        <w:t>Hofny</w:t>
      </w:r>
      <w:proofErr w:type="spellEnd"/>
      <w:r>
        <w:rPr>
          <w:rFonts w:ascii="Times New Roman" w:hAnsi="Times New Roman" w:cs="Times New Roman"/>
          <w:i/>
          <w:iCs/>
        </w:rPr>
        <w:t xml:space="preserve"> 2021, Agarwal 2025). </w:t>
      </w:r>
      <w:r>
        <w:rPr>
          <w:rFonts w:ascii="Times New Roman" w:hAnsi="Times New Roman" w:cs="Times New Roman"/>
        </w:rPr>
        <w:t xml:space="preserve">Hydrogen bonding interactions with Asp81, Glu85, and Tyr123 in the </w:t>
      </w:r>
      <w:proofErr w:type="spellStart"/>
      <w:r>
        <w:rPr>
          <w:rFonts w:ascii="Times New Roman" w:hAnsi="Times New Roman" w:cs="Times New Roman"/>
        </w:rPr>
        <w:t>GyrB</w:t>
      </w:r>
      <w:proofErr w:type="spellEnd"/>
      <w:r>
        <w:rPr>
          <w:rFonts w:ascii="Times New Roman" w:hAnsi="Times New Roman" w:cs="Times New Roman"/>
        </w:rPr>
        <w:t xml:space="preserve"> subunit are consistent across studies. Some derivatives (Madugula 2024) als</w:t>
      </w:r>
      <w:r>
        <w:rPr>
          <w:rFonts w:ascii="Times New Roman" w:hAnsi="Times New Roman" w:cs="Times New Roman"/>
          <w:sz w:val="28"/>
          <w:szCs w:val="28"/>
        </w:rPr>
        <w:t xml:space="preserve">o </w:t>
      </w:r>
      <w:r>
        <w:rPr>
          <w:rFonts w:ascii="Times New Roman" w:hAnsi="Times New Roman" w:cs="Times New Roman"/>
        </w:rPr>
        <w:t>display radical scavenging, suggesting dual antimicrobial and antioxidant profiles.</w:t>
      </w:r>
      <w:bookmarkEnd w:id="0"/>
    </w:p>
    <w:p w14:paraId="2DC0B9BC" w14:textId="77777777" w:rsidR="002E28C1" w:rsidRDefault="002E28C1">
      <w:pPr>
        <w:pStyle w:val="BodyText"/>
        <w:rPr>
          <w:rFonts w:ascii="Times New Roman" w:hAnsi="Times New Roman" w:cs="Times New Roman"/>
        </w:rPr>
      </w:pPr>
    </w:p>
    <w:p w14:paraId="55A23FC8" w14:textId="77777777" w:rsidR="002E28C1" w:rsidRDefault="002E28C1">
      <w:pPr>
        <w:pStyle w:val="BodyText"/>
        <w:rPr>
          <w:rFonts w:ascii="Times New Roman" w:hAnsi="Times New Roman" w:cs="Times New Roman"/>
        </w:rPr>
      </w:pPr>
    </w:p>
    <w:p w14:paraId="4C75B75E" w14:textId="77777777" w:rsidR="002E28C1" w:rsidRDefault="002E28C1">
      <w:pPr>
        <w:pStyle w:val="BodyText"/>
        <w:rPr>
          <w:rFonts w:ascii="Times New Roman" w:hAnsi="Times New Roman" w:cs="Times New Roman"/>
        </w:rPr>
      </w:pPr>
    </w:p>
    <w:p w14:paraId="5B087793" w14:textId="77777777" w:rsidR="002E28C1" w:rsidRDefault="00000000">
      <w:pPr>
        <w:pStyle w:val="Heading2"/>
        <w:numPr>
          <w:ilvl w:val="0"/>
          <w:numId w:val="2"/>
        </w:numPr>
        <w:spacing w:line="360" w:lineRule="auto"/>
        <w:jc w:val="both"/>
        <w:rPr>
          <w:rFonts w:ascii="Times New Roman" w:hAnsi="Times New Roman" w:cs="Times New Roman"/>
          <w:color w:val="auto"/>
          <w:sz w:val="28"/>
          <w:szCs w:val="28"/>
        </w:rPr>
      </w:pPr>
      <w:bookmarkStart w:id="1" w:name="conclusion"/>
      <w:r>
        <w:rPr>
          <w:rFonts w:ascii="Times New Roman" w:hAnsi="Times New Roman" w:cs="Times New Roman"/>
          <w:sz w:val="28"/>
          <w:szCs w:val="28"/>
        </w:rPr>
        <w:t xml:space="preserve"> </w:t>
      </w:r>
      <w:r>
        <w:rPr>
          <w:rFonts w:ascii="Times New Roman" w:hAnsi="Times New Roman" w:cs="Times New Roman"/>
          <w:color w:val="auto"/>
          <w:sz w:val="28"/>
          <w:szCs w:val="28"/>
        </w:rPr>
        <w:t>Structure–Activity Relationship (SAR)</w:t>
      </w:r>
    </w:p>
    <w:p w14:paraId="6EE027DA" w14:textId="77777777" w:rsidR="002E28C1" w:rsidRDefault="00000000">
      <w:pPr>
        <w:spacing w:line="360" w:lineRule="auto"/>
        <w:jc w:val="both"/>
        <w:rPr>
          <w:sz w:val="28"/>
          <w:szCs w:val="28"/>
        </w:rPr>
      </w:pPr>
      <w:r>
        <w:rPr>
          <w:noProof/>
          <w:sz w:val="28"/>
          <w:szCs w:val="28"/>
        </w:rPr>
        <w:drawing>
          <wp:inline distT="0" distB="0" distL="114300" distR="114300" wp14:anchorId="715118FA" wp14:editId="4F382E0C">
            <wp:extent cx="2728595" cy="2943225"/>
            <wp:effectExtent l="0" t="0" r="14605" b="13335"/>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pic:cNvPicPr>
                  </pic:nvPicPr>
                  <pic:blipFill>
                    <a:blip r:embed="rId33"/>
                    <a:stretch>
                      <a:fillRect/>
                    </a:stretch>
                  </pic:blipFill>
                  <pic:spPr>
                    <a:xfrm>
                      <a:off x="0" y="0"/>
                      <a:ext cx="2728595" cy="2943225"/>
                    </a:xfrm>
                    <a:prstGeom prst="rect">
                      <a:avLst/>
                    </a:prstGeom>
                    <a:noFill/>
                    <a:ln>
                      <a:noFill/>
                    </a:ln>
                  </pic:spPr>
                </pic:pic>
              </a:graphicData>
            </a:graphic>
          </wp:inline>
        </w:drawing>
      </w:r>
    </w:p>
    <w:p w14:paraId="2865D427" w14:textId="77777777" w:rsidR="002E28C1" w:rsidRDefault="00000000">
      <w:pPr>
        <w:pStyle w:val="NormalWeb"/>
        <w:spacing w:beforeAutospacing="0" w:afterAutospacing="0"/>
        <w:rPr>
          <w:sz w:val="18"/>
          <w:szCs w:val="18"/>
        </w:rPr>
      </w:pPr>
      <w:r>
        <w:rPr>
          <w:rFonts w:eastAsia="mn-ea"/>
          <w:color w:val="000000"/>
          <w:kern w:val="24"/>
          <w:sz w:val="18"/>
          <w:szCs w:val="18"/>
        </w:rPr>
        <w:t xml:space="preserve">Table 2 structure activity relationship (SAR) </w:t>
      </w:r>
    </w:p>
    <w:p w14:paraId="65889CAE" w14:textId="77777777" w:rsidR="002E28C1" w:rsidRDefault="00000000">
      <w:pPr>
        <w:pStyle w:val="Heading2"/>
        <w:spacing w:line="360" w:lineRule="auto"/>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Table 2 </w:t>
      </w:r>
      <w:proofErr w:type="spellStart"/>
      <w:r>
        <w:rPr>
          <w:rFonts w:ascii="Times New Roman" w:hAnsi="Times New Roman" w:cs="Times New Roman"/>
          <w:color w:val="auto"/>
          <w:sz w:val="24"/>
          <w:szCs w:val="24"/>
          <w:lang w:val="en-US"/>
        </w:rPr>
        <w:t>comaparitive</w:t>
      </w:r>
      <w:proofErr w:type="spellEnd"/>
      <w:r>
        <w:rPr>
          <w:rFonts w:ascii="Times New Roman" w:hAnsi="Times New Roman" w:cs="Times New Roman"/>
          <w:color w:val="auto"/>
          <w:sz w:val="24"/>
          <w:szCs w:val="24"/>
          <w:lang w:val="en-US"/>
        </w:rPr>
        <w:t xml:space="preserve"> study shows the effect of different substituent on the activity</w:t>
      </w:r>
    </w:p>
    <w:p w14:paraId="44EFA81C" w14:textId="77777777" w:rsidR="002E28C1" w:rsidRDefault="00000000">
      <w:pPr>
        <w:pStyle w:val="Heading2"/>
        <w:numPr>
          <w:ilvl w:val="0"/>
          <w:numId w:val="3"/>
        </w:numPr>
        <w:spacing w:line="360" w:lineRule="auto"/>
        <w:rPr>
          <w:rFonts w:ascii="Times New Roman" w:hAnsi="Times New Roman" w:cs="Times New Roman"/>
          <w:color w:val="auto"/>
          <w:sz w:val="24"/>
          <w:szCs w:val="24"/>
        </w:rPr>
      </w:pPr>
      <w:bookmarkStart w:id="2" w:name="adme-and-toxicity-predictions"/>
      <w:r>
        <w:rPr>
          <w:rFonts w:ascii="Times New Roman" w:hAnsi="Times New Roman" w:cs="Times New Roman"/>
          <w:b/>
          <w:bCs/>
          <w:color w:val="auto"/>
          <w:sz w:val="24"/>
          <w:szCs w:val="24"/>
        </w:rPr>
        <w:t xml:space="preserve"> ADME and Toxicity Predictions</w:t>
      </w:r>
    </w:p>
    <w:p w14:paraId="39111F67" w14:textId="77777777" w:rsidR="002E28C1" w:rsidRDefault="00000000">
      <w:pPr>
        <w:pStyle w:val="FirstParagraph"/>
        <w:spacing w:line="360" w:lineRule="auto"/>
        <w:rPr>
          <w:rFonts w:ascii="Times New Roman" w:hAnsi="Times New Roman" w:cs="Times New Roman"/>
        </w:rPr>
      </w:pPr>
      <w:r>
        <w:rPr>
          <w:rFonts w:ascii="Times New Roman" w:hAnsi="Times New Roman" w:cs="Times New Roman"/>
        </w:rPr>
        <w:t xml:space="preserve">Most hybrids satisfy </w:t>
      </w:r>
      <w:r>
        <w:rPr>
          <w:rFonts w:ascii="Times New Roman" w:hAnsi="Times New Roman" w:cs="Times New Roman"/>
          <w:b/>
          <w:bCs/>
        </w:rPr>
        <w:t>Lipinski’s Rule of Five</w:t>
      </w:r>
      <w:r>
        <w:rPr>
          <w:rFonts w:ascii="Times New Roman" w:hAnsi="Times New Roman" w:cs="Times New Roman"/>
        </w:rPr>
        <w:t xml:space="preserve"> (MW &lt; 500, </w:t>
      </w:r>
      <w:proofErr w:type="spellStart"/>
      <w:r>
        <w:rPr>
          <w:rFonts w:ascii="Times New Roman" w:hAnsi="Times New Roman" w:cs="Times New Roman"/>
        </w:rPr>
        <w:t>logP</w:t>
      </w:r>
      <w:proofErr w:type="spellEnd"/>
      <w:r>
        <w:rPr>
          <w:rFonts w:ascii="Times New Roman" w:hAnsi="Times New Roman" w:cs="Times New Roman"/>
        </w:rPr>
        <w:t xml:space="preserve"> &lt; 5, HBD ≤ 5, HBA ≤ 10). Computational screening (De Oliveira 2021, Al-</w:t>
      </w:r>
      <w:proofErr w:type="spellStart"/>
      <w:r>
        <w:rPr>
          <w:rFonts w:ascii="Times New Roman" w:hAnsi="Times New Roman" w:cs="Times New Roman"/>
        </w:rPr>
        <w:t>Wahaibi</w:t>
      </w:r>
      <w:proofErr w:type="spellEnd"/>
      <w:r>
        <w:rPr>
          <w:rFonts w:ascii="Times New Roman" w:hAnsi="Times New Roman" w:cs="Times New Roman"/>
        </w:rPr>
        <w:t xml:space="preserve"> 2024) predicts high oral bioavailability and low cytotoxicity (CC₅₀ &gt; 50 µM).</w:t>
      </w:r>
    </w:p>
    <w:bookmarkEnd w:id="2"/>
    <w:p w14:paraId="60EE751A" w14:textId="77777777" w:rsidR="002E28C1" w:rsidRDefault="002E28C1">
      <w:pPr>
        <w:rPr>
          <w:rFonts w:ascii="Times New Roman" w:hAnsi="Times New Roman" w:cs="Times New Roman"/>
          <w:lang w:val="en-US"/>
        </w:rPr>
      </w:pPr>
    </w:p>
    <w:p w14:paraId="370F599C" w14:textId="77777777" w:rsidR="002E28C1" w:rsidRDefault="00000000">
      <w:pPr>
        <w:pStyle w:val="Heading2"/>
        <w:spacing w:line="360" w:lineRule="auto"/>
        <w:rPr>
          <w:color w:val="auto"/>
          <w:sz w:val="24"/>
          <w:szCs w:val="24"/>
          <w:lang w:val="en-US"/>
        </w:rPr>
      </w:pPr>
      <w:r>
        <w:rPr>
          <w:rFonts w:ascii="Times New Roman" w:hAnsi="Times New Roman" w:cs="Times New Roman"/>
          <w:b/>
          <w:bCs/>
          <w:color w:val="auto"/>
          <w:sz w:val="24"/>
          <w:szCs w:val="24"/>
          <w:lang w:val="en-US"/>
        </w:rPr>
        <w:lastRenderedPageBreak/>
        <w:t>13.</w:t>
      </w:r>
      <w:r>
        <w:rPr>
          <w:rFonts w:ascii="Times New Roman" w:hAnsi="Times New Roman" w:cs="Times New Roman"/>
          <w:b/>
          <w:bCs/>
          <w:color w:val="auto"/>
          <w:sz w:val="24"/>
          <w:szCs w:val="24"/>
        </w:rPr>
        <w:t xml:space="preserve"> Conclusion</w:t>
      </w:r>
    </w:p>
    <w:p w14:paraId="62ED967A" w14:textId="77777777" w:rsidR="002E28C1" w:rsidRDefault="00000000">
      <w:pPr>
        <w:pStyle w:val="Heading2"/>
        <w:spacing w:line="360" w:lineRule="auto"/>
        <w:jc w:val="both"/>
        <w:rPr>
          <w:rFonts w:ascii="Times New Roman" w:hAnsi="Times New Roman" w:cs="Times New Roman"/>
          <w:sz w:val="24"/>
          <w:szCs w:val="24"/>
        </w:rPr>
      </w:pPr>
      <w:r>
        <w:rPr>
          <w:rFonts w:ascii="Times New Roman" w:hAnsi="Times New Roman" w:cs="Times New Roman"/>
          <w:color w:val="auto"/>
          <w:sz w:val="24"/>
          <w:szCs w:val="24"/>
        </w:rPr>
        <w:t>Triazole and oxadiazole hybridization provides a rational route for developing potent, broad-spectrum antimicrobial agents. The period 2021–2025 has yielded potent leads, many with MIC values below 5 µg/</w:t>
      </w:r>
      <w:proofErr w:type="spellStart"/>
      <w:r>
        <w:rPr>
          <w:rFonts w:ascii="Times New Roman" w:hAnsi="Times New Roman" w:cs="Times New Roman"/>
          <w:color w:val="auto"/>
          <w:sz w:val="24"/>
          <w:szCs w:val="24"/>
        </w:rPr>
        <w:t>mL.</w:t>
      </w:r>
      <w:proofErr w:type="spellEnd"/>
      <w:r>
        <w:rPr>
          <w:rFonts w:ascii="Times New Roman" w:hAnsi="Times New Roman" w:cs="Times New Roman"/>
          <w:color w:val="auto"/>
          <w:sz w:val="24"/>
          <w:szCs w:val="24"/>
        </w:rPr>
        <w:t xml:space="preserve"> Structural optimization, mechanistic validation, and exploration of new hybrid combinations (e.g., coumarin-, indole-, and quinoline-linked systems) are the next logical steps.</w:t>
      </w:r>
    </w:p>
    <w:p w14:paraId="4FB2BA3C" w14:textId="77777777" w:rsidR="002E28C1" w:rsidRDefault="00000000">
      <w:pPr>
        <w:pStyle w:val="Heading2"/>
        <w:jc w:val="both"/>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14</w:t>
      </w:r>
      <w:r>
        <w:rPr>
          <w:rFonts w:ascii="Times New Roman" w:hAnsi="Times New Roman" w:cs="Times New Roman"/>
          <w:b/>
          <w:bCs/>
          <w:color w:val="auto"/>
          <w:sz w:val="24"/>
          <w:szCs w:val="24"/>
        </w:rPr>
        <w:t>. Scope of Further Work</w:t>
      </w:r>
    </w:p>
    <w:p w14:paraId="169F6990" w14:textId="77777777" w:rsidR="002E28C1" w:rsidRDefault="00000000">
      <w:pPr>
        <w:spacing w:line="360" w:lineRule="auto"/>
        <w:jc w:val="both"/>
        <w:rPr>
          <w:rFonts w:ascii="Times New Roman" w:hAnsi="Times New Roman" w:cs="Times New Roman"/>
          <w:lang w:val="en-US"/>
        </w:rPr>
      </w:pPr>
      <w:r>
        <w:rPr>
          <w:rFonts w:ascii="Times New Roman" w:hAnsi="Times New Roman" w:cs="Times New Roman"/>
        </w:rPr>
        <w:t>Future research should emphasize the following areas:</w:t>
      </w:r>
      <w:r>
        <w:rPr>
          <w:rFonts w:ascii="Times New Roman" w:hAnsi="Times New Roman" w:cs="Times New Roman"/>
        </w:rPr>
        <w:br/>
        <w:t>• Advancing the most promising leads to **ADME/toxicity** studies and in vivo infection models.</w:t>
      </w:r>
      <w:r>
        <w:rPr>
          <w:rFonts w:ascii="Times New Roman" w:hAnsi="Times New Roman" w:cs="Times New Roman"/>
        </w:rPr>
        <w:br/>
        <w:t>• Mechanistic studies using proteomics and enzyme inhibition assays to identify precise molecular targets.</w:t>
      </w:r>
      <w:r>
        <w:rPr>
          <w:rFonts w:ascii="Times New Roman" w:hAnsi="Times New Roman" w:cs="Times New Roman"/>
        </w:rPr>
        <w:br/>
        <w:t>• Exploration of antibiofilm optimization through hydrophilic/lipophilic balance adjustment.</w:t>
      </w:r>
      <w:r>
        <w:rPr>
          <w:rFonts w:ascii="Times New Roman" w:hAnsi="Times New Roman" w:cs="Times New Roman"/>
        </w:rPr>
        <w:br/>
        <w:t xml:space="preserve">• Integration of </w:t>
      </w:r>
      <w:r>
        <w:rPr>
          <w:rFonts w:ascii="Times New Roman" w:hAnsi="Times New Roman" w:cs="Times New Roman"/>
          <w:lang w:val="en-US"/>
        </w:rPr>
        <w:t xml:space="preserve"> </w:t>
      </w:r>
      <w:r>
        <w:rPr>
          <w:rFonts w:ascii="Times New Roman" w:hAnsi="Times New Roman" w:cs="Times New Roman"/>
        </w:rPr>
        <w:t xml:space="preserve">AI and QSAR </w:t>
      </w:r>
      <w:proofErr w:type="spellStart"/>
      <w:r>
        <w:rPr>
          <w:rFonts w:ascii="Times New Roman" w:hAnsi="Times New Roman" w:cs="Times New Roman"/>
        </w:rPr>
        <w:t>modeling</w:t>
      </w:r>
      <w:proofErr w:type="spellEnd"/>
      <w:r>
        <w:rPr>
          <w:rFonts w:ascii="Times New Roman" w:hAnsi="Times New Roman" w:cs="Times New Roman"/>
        </w:rPr>
        <w:t xml:space="preserve"> to predict and optimize antimicrobial potency.</w:t>
      </w:r>
      <w:r>
        <w:rPr>
          <w:rFonts w:ascii="Times New Roman" w:hAnsi="Times New Roman" w:cs="Times New Roman"/>
        </w:rPr>
        <w:br/>
        <w:t>• Continued efforts toward green and scalable synthesis (e.g., flow chemistry and catalysis)</w:t>
      </w:r>
      <w:r>
        <w:rPr>
          <w:rFonts w:ascii="Times New Roman" w:hAnsi="Times New Roman" w:cs="Times New Roman"/>
          <w:lang w:val="en-US"/>
        </w:rPr>
        <w:t>.</w:t>
      </w:r>
    </w:p>
    <w:p w14:paraId="7CA18403" w14:textId="77777777" w:rsidR="002E28C1" w:rsidRDefault="00000000">
      <w:pPr>
        <w:pStyle w:val="Heading2"/>
        <w:rPr>
          <w:rFonts w:ascii="Times New Roman" w:hAnsi="Times New Roman" w:cs="Times New Roman"/>
          <w:b/>
          <w:bCs/>
          <w:color w:val="auto"/>
          <w:sz w:val="28"/>
          <w:szCs w:val="28"/>
        </w:rPr>
      </w:pPr>
      <w:bookmarkStart w:id="3" w:name="references-selected"/>
      <w:r>
        <w:rPr>
          <w:rFonts w:ascii="Times New Roman" w:hAnsi="Times New Roman" w:cs="Times New Roman"/>
          <w:b/>
          <w:bCs/>
          <w:color w:val="auto"/>
          <w:sz w:val="28"/>
          <w:szCs w:val="28"/>
        </w:rPr>
        <w:t>References</w:t>
      </w:r>
    </w:p>
    <w:p w14:paraId="5B526AF6" w14:textId="77777777" w:rsidR="002E28C1" w:rsidRDefault="00000000">
      <w:pPr>
        <w:pStyle w:val="NormalWeb"/>
      </w:pPr>
      <w:r>
        <w:t>1</w:t>
      </w:r>
      <w:bookmarkEnd w:id="3"/>
      <w:r>
        <w:rPr>
          <w:rStyle w:val="Strong"/>
          <w:b w:val="0"/>
          <w:bCs w:val="0"/>
        </w:rPr>
        <w:t>Addo, J.K., Tetteh, P., Mensah, M.A., et al., 2022.</w:t>
      </w:r>
      <w:r>
        <w:br/>
        <w:t xml:space="preserve">Synthesis of 1,2,3-triazole-thymol derivatives as potential antimicrobial agents. </w:t>
      </w:r>
      <w:proofErr w:type="spellStart"/>
      <w:r>
        <w:rPr>
          <w:rStyle w:val="Emphasis"/>
        </w:rPr>
        <w:t>Heliyon</w:t>
      </w:r>
      <w:proofErr w:type="spellEnd"/>
      <w:r>
        <w:t xml:space="preserve">, 8(10), e10836. </w:t>
      </w:r>
      <w:r>
        <w:rPr>
          <w:i/>
          <w:iCs/>
          <w:color w:val="0000FF"/>
          <w:u w:val="single"/>
        </w:rPr>
        <w:t>https://doi.org/10.1016/j.heliyon.2022.e10836</w:t>
      </w:r>
    </w:p>
    <w:p w14:paraId="03DE5396" w14:textId="77777777" w:rsidR="002E28C1" w:rsidRDefault="00000000">
      <w:pPr>
        <w:pStyle w:val="NormalWeb"/>
      </w:pPr>
      <w:r>
        <w:rPr>
          <w:rStyle w:val="Strong"/>
          <w:b w:val="0"/>
          <w:bCs w:val="0"/>
        </w:rPr>
        <w:t>Agarwal, A., Sharma, V., Kumar, V., et al., 2022.</w:t>
      </w:r>
      <w:r>
        <w:br/>
        <w:t xml:space="preserve">Design, synthesis, and biological evaluation of ciprofloxacin-tethered 1,2,3-triazole conjugates as antibacterial agents. </w:t>
      </w:r>
      <w:r>
        <w:rPr>
          <w:rStyle w:val="Emphasis"/>
        </w:rPr>
        <w:t>ACS Omega</w:t>
      </w:r>
      <w:r>
        <w:t xml:space="preserve">, 7, 13675–13688. </w:t>
      </w:r>
      <w:r>
        <w:rPr>
          <w:i/>
          <w:iCs/>
          <w:color w:val="0000FF"/>
          <w:u w:val="single"/>
        </w:rPr>
        <w:t>https://doi.org/10.1021/acsomega.1c05303</w:t>
      </w:r>
    </w:p>
    <w:p w14:paraId="03394A68" w14:textId="77777777" w:rsidR="002E28C1" w:rsidRPr="009F1E01" w:rsidRDefault="00000000">
      <w:pPr>
        <w:pStyle w:val="NormalWeb"/>
        <w:rPr>
          <w:lang w:val="pt-PT"/>
        </w:rPr>
      </w:pPr>
      <w:r>
        <w:rPr>
          <w:rStyle w:val="Strong"/>
          <w:b w:val="0"/>
          <w:bCs w:val="0"/>
        </w:rPr>
        <w:t>Ali, A., Shah, S.A.A., Khan, M., et al., 2021.</w:t>
      </w:r>
      <w:r>
        <w:br/>
        <w:t xml:space="preserve">Development of oxadiazole-sulfonamide-based compounds as potential antibacterial agents. </w:t>
      </w:r>
      <w:r w:rsidRPr="009F1E01">
        <w:rPr>
          <w:rStyle w:val="Emphasis"/>
          <w:lang w:val="pt-PT"/>
        </w:rPr>
        <w:t>ACS Omega</w:t>
      </w:r>
      <w:r w:rsidRPr="009F1E01">
        <w:rPr>
          <w:lang w:val="pt-PT"/>
        </w:rPr>
        <w:t>, 6(42), 27798–27813.</w:t>
      </w:r>
      <w:r w:rsidRPr="009F1E01">
        <w:rPr>
          <w:i/>
          <w:iCs/>
          <w:color w:val="0000FF"/>
          <w:u w:val="single"/>
          <w:lang w:val="pt-PT"/>
        </w:rPr>
        <w:t xml:space="preserve"> https://doi.org/10.1021/acsomega.1c03379</w:t>
      </w:r>
    </w:p>
    <w:p w14:paraId="47E83200" w14:textId="77777777" w:rsidR="002E28C1" w:rsidRDefault="00000000">
      <w:pPr>
        <w:pStyle w:val="NormalWeb"/>
      </w:pPr>
      <w:r w:rsidRPr="009F1E01">
        <w:rPr>
          <w:rStyle w:val="Strong"/>
          <w:b w:val="0"/>
          <w:bCs w:val="0"/>
          <w:lang w:val="pt-PT"/>
        </w:rPr>
        <w:t>Ashok, D., Ramesh, A., Srinivas, K., et al., 2023.</w:t>
      </w:r>
      <w:r w:rsidRPr="009F1E01">
        <w:rPr>
          <w:lang w:val="pt-PT"/>
        </w:rPr>
        <w:br/>
      </w:r>
      <w:r>
        <w:t xml:space="preserve">Synthesis, characterization and antimicrobial activity of novel 1,2,3-triazole-based carbazole derivatives. </w:t>
      </w:r>
      <w:r>
        <w:rPr>
          <w:rStyle w:val="Emphasis"/>
        </w:rPr>
        <w:t>RSC Advances</w:t>
      </w:r>
      <w:r>
        <w:t xml:space="preserve">, 13, 2060–2071. </w:t>
      </w:r>
      <w:r>
        <w:rPr>
          <w:i/>
          <w:iCs/>
          <w:color w:val="0000FF"/>
          <w:u w:val="single"/>
        </w:rPr>
        <w:t>https://doi.org/10.1039/D2RA05960F</w:t>
      </w:r>
    </w:p>
    <w:p w14:paraId="31D30903" w14:textId="77777777" w:rsidR="002E28C1" w:rsidRDefault="00000000">
      <w:pPr>
        <w:pStyle w:val="NormalWeb"/>
      </w:pPr>
      <w:r>
        <w:rPr>
          <w:rStyle w:val="Strong"/>
          <w:b w:val="0"/>
          <w:bCs w:val="0"/>
        </w:rPr>
        <w:t>Avula, S.K., Boddu, V.M., Gollapalli, M., et al., 2021.</w:t>
      </w:r>
      <w:r>
        <w:br/>
        <w:t xml:space="preserve">Synthesis and antimicrobial activity of 1H-1,2,3-triazole and carboxylate analogues of metronidazole. </w:t>
      </w:r>
      <w:r>
        <w:rPr>
          <w:rStyle w:val="Emphasis"/>
        </w:rPr>
        <w:t>Beilstein Journal of Organic Chemistry</w:t>
      </w:r>
      <w:r>
        <w:t xml:space="preserve">, 17, 1885–1900. </w:t>
      </w:r>
      <w:r>
        <w:rPr>
          <w:i/>
          <w:iCs/>
          <w:color w:val="0000FF"/>
          <w:u w:val="single"/>
        </w:rPr>
        <w:t>https://doi.org/10.3762/bjoc.17.154</w:t>
      </w:r>
    </w:p>
    <w:p w14:paraId="080D8EDC" w14:textId="77777777" w:rsidR="002E28C1" w:rsidRDefault="00000000">
      <w:pPr>
        <w:pStyle w:val="NormalWeb"/>
      </w:pPr>
      <w:proofErr w:type="spellStart"/>
      <w:r>
        <w:rPr>
          <w:rStyle w:val="Strong"/>
          <w:b w:val="0"/>
          <w:bCs w:val="0"/>
        </w:rPr>
        <w:t>Chathangad</w:t>
      </w:r>
      <w:proofErr w:type="spellEnd"/>
      <w:r>
        <w:rPr>
          <w:rStyle w:val="Strong"/>
          <w:b w:val="0"/>
          <w:bCs w:val="0"/>
        </w:rPr>
        <w:t>, S.N., Patel, V.M., Desai, N.C., et al., 2024.</w:t>
      </w:r>
      <w:r>
        <w:br/>
        <w:t xml:space="preserve">Mitigating antimicrobial resistance through strategic design of 1,2,3-triazole hybrids. </w:t>
      </w:r>
      <w:r>
        <w:rPr>
          <w:rStyle w:val="Emphasis"/>
        </w:rPr>
        <w:t>ACS Biomed. Chem. Au</w:t>
      </w:r>
      <w:r>
        <w:t>. https://doi.org/10.1021/acsbiomedchemau.4c00132</w:t>
      </w:r>
    </w:p>
    <w:p w14:paraId="0B2E4E70" w14:textId="77777777" w:rsidR="002E28C1" w:rsidRPr="009F1E01" w:rsidRDefault="00000000">
      <w:pPr>
        <w:pStyle w:val="NormalWeb"/>
        <w:rPr>
          <w:lang w:val="pt-PT"/>
        </w:rPr>
      </w:pPr>
      <w:r>
        <w:rPr>
          <w:rStyle w:val="Strong"/>
          <w:b w:val="0"/>
          <w:bCs w:val="0"/>
        </w:rPr>
        <w:t>Douglas, E.J.A., Jackson, P., Hill, R., et al., 2023.</w:t>
      </w:r>
      <w:r>
        <w:br/>
        <w:t xml:space="preserve">Improved antibacterial activity of 1,3,4-oxadiazole-based compounds. </w:t>
      </w:r>
      <w:r w:rsidRPr="009F1E01">
        <w:rPr>
          <w:rStyle w:val="Emphasis"/>
          <w:lang w:val="pt-PT"/>
        </w:rPr>
        <w:t>ACS Infectious Diseases</w:t>
      </w:r>
      <w:r w:rsidRPr="009F1E01">
        <w:rPr>
          <w:lang w:val="pt-PT"/>
        </w:rPr>
        <w:t>, 9, 2680–2693. https:/</w:t>
      </w:r>
      <w:r w:rsidRPr="009F1E01">
        <w:rPr>
          <w:i/>
          <w:iCs/>
          <w:color w:val="0000FF"/>
          <w:u w:val="single"/>
          <w:lang w:val="pt-PT"/>
        </w:rPr>
        <w:t>/doi.org/10.1021/acsinfecdis.3c00250</w:t>
      </w:r>
    </w:p>
    <w:p w14:paraId="0A83E13A" w14:textId="77777777" w:rsidR="002E28C1" w:rsidRDefault="00000000">
      <w:pPr>
        <w:pStyle w:val="NormalWeb"/>
        <w:rPr>
          <w:i/>
          <w:iCs/>
          <w:color w:val="0000FF"/>
          <w:u w:val="single"/>
        </w:rPr>
      </w:pPr>
      <w:r w:rsidRPr="009F1E01">
        <w:rPr>
          <w:rStyle w:val="Strong"/>
          <w:b w:val="0"/>
          <w:bCs w:val="0"/>
          <w:lang w:val="pt-PT"/>
        </w:rPr>
        <w:lastRenderedPageBreak/>
        <w:t>Figueroa, L.P.R., Da Silva, J.M., Araujo, T., et al., 2023.</w:t>
      </w:r>
      <w:r w:rsidRPr="009F1E01">
        <w:rPr>
          <w:lang w:val="pt-PT"/>
        </w:rPr>
        <w:br/>
      </w:r>
      <w:r>
        <w:t xml:space="preserve">Synthesis and evaluation of antibacterial activity of 1,2,3-triazole ether derivatives of </w:t>
      </w:r>
      <w:proofErr w:type="spellStart"/>
      <w:r>
        <w:t>paeonol</w:t>
      </w:r>
      <w:proofErr w:type="spellEnd"/>
      <w:r>
        <w:t xml:space="preserve">. </w:t>
      </w:r>
      <w:r>
        <w:rPr>
          <w:rStyle w:val="Emphasis"/>
        </w:rPr>
        <w:t>Journal of the Brazilian Chemical Society</w:t>
      </w:r>
      <w:r>
        <w:t>, 34, e20220085.</w:t>
      </w:r>
      <w:r>
        <w:rPr>
          <w:i/>
          <w:iCs/>
          <w:color w:val="0000FF"/>
          <w:u w:val="single"/>
        </w:rPr>
        <w:t xml:space="preserve"> https://doi.org/10.21577/0103-5053.20220085</w:t>
      </w:r>
    </w:p>
    <w:p w14:paraId="00642CF0" w14:textId="77777777" w:rsidR="002E28C1" w:rsidRDefault="00000000">
      <w:pPr>
        <w:pStyle w:val="NormalWeb"/>
      </w:pPr>
      <w:r>
        <w:rPr>
          <w:rStyle w:val="Strong"/>
          <w:b w:val="0"/>
          <w:bCs w:val="0"/>
        </w:rPr>
        <w:t xml:space="preserve">Glomb, T. and </w:t>
      </w:r>
      <w:proofErr w:type="spellStart"/>
      <w:r>
        <w:rPr>
          <w:rStyle w:val="Strong"/>
          <w:b w:val="0"/>
          <w:bCs w:val="0"/>
        </w:rPr>
        <w:t>Świątek</w:t>
      </w:r>
      <w:proofErr w:type="spellEnd"/>
      <w:r>
        <w:rPr>
          <w:rStyle w:val="Strong"/>
          <w:b w:val="0"/>
          <w:bCs w:val="0"/>
        </w:rPr>
        <w:t>, P., 2021.</w:t>
      </w:r>
      <w:r>
        <w:br/>
        <w:t xml:space="preserve">Antimicrobial activity of 1,3,4-oxadiazole derivatives. </w:t>
      </w:r>
      <w:r>
        <w:rPr>
          <w:rStyle w:val="Emphasis"/>
        </w:rPr>
        <w:t>International Journal of Molecular Sciences</w:t>
      </w:r>
      <w:r>
        <w:t>, 22, 6979.</w:t>
      </w:r>
      <w:r>
        <w:rPr>
          <w:i/>
          <w:iCs/>
          <w:color w:val="0000FF"/>
        </w:rPr>
        <w:t xml:space="preserve"> https://doi.org/10.3390/ijms22136979</w:t>
      </w:r>
    </w:p>
    <w:p w14:paraId="1E1CB5E0" w14:textId="77777777" w:rsidR="002E28C1" w:rsidRDefault="00000000">
      <w:pPr>
        <w:pStyle w:val="NormalWeb"/>
      </w:pPr>
      <w:r>
        <w:rPr>
          <w:rStyle w:val="Strong"/>
          <w:b w:val="0"/>
          <w:bCs w:val="0"/>
        </w:rPr>
        <w:t>Khamkar, T., Gawande, S., Joshi, R., et al., 2025.</w:t>
      </w:r>
      <w:r>
        <w:br/>
        <w:t xml:space="preserve">Recent advances in synthetic approaches for 1,3,4-oxadiazole derivatives: a comprehensive review on therapeutic applications. </w:t>
      </w:r>
      <w:r>
        <w:rPr>
          <w:rStyle w:val="Emphasis"/>
        </w:rPr>
        <w:t>Open Medicinal Chemistry Journal</w:t>
      </w:r>
      <w:r>
        <w:t>, 19. https://</w:t>
      </w:r>
      <w:r>
        <w:rPr>
          <w:i/>
          <w:iCs/>
          <w:color w:val="0000FF"/>
          <w:u w:val="single"/>
        </w:rPr>
        <w:t>doi.org/10.2174/0118741045372896250619051210</w:t>
      </w:r>
    </w:p>
    <w:p w14:paraId="4E7A1F2D" w14:textId="77777777" w:rsidR="002E28C1" w:rsidRDefault="00000000">
      <w:pPr>
        <w:pStyle w:val="NormalWeb"/>
      </w:pPr>
      <w:proofErr w:type="spellStart"/>
      <w:r>
        <w:rPr>
          <w:rStyle w:val="Strong"/>
          <w:b w:val="0"/>
          <w:bCs w:val="0"/>
        </w:rPr>
        <w:t>Khasawneh</w:t>
      </w:r>
      <w:proofErr w:type="spellEnd"/>
      <w:r>
        <w:rPr>
          <w:rStyle w:val="Strong"/>
          <w:b w:val="0"/>
          <w:bCs w:val="0"/>
        </w:rPr>
        <w:t>, H.E.N., Al-Tel, T.H. and Al-</w:t>
      </w:r>
      <w:proofErr w:type="spellStart"/>
      <w:r>
        <w:rPr>
          <w:rStyle w:val="Strong"/>
          <w:b w:val="0"/>
          <w:bCs w:val="0"/>
        </w:rPr>
        <w:t>Qawasmeh</w:t>
      </w:r>
      <w:proofErr w:type="spellEnd"/>
      <w:r>
        <w:rPr>
          <w:rStyle w:val="Strong"/>
          <w:b w:val="0"/>
          <w:bCs w:val="0"/>
        </w:rPr>
        <w:t>, R., 2025.</w:t>
      </w:r>
      <w:r>
        <w:br/>
        <w:t xml:space="preserve">Unveiling the therapeutic potential of 1,2,4-oxadiazole derivatives: an updated review (2018–2024). </w:t>
      </w:r>
      <w:r>
        <w:rPr>
          <w:rStyle w:val="Emphasis"/>
        </w:rPr>
        <w:t>Results in Chemistry</w:t>
      </w:r>
      <w:r>
        <w:t xml:space="preserve">, 15, 102271. </w:t>
      </w:r>
      <w:r>
        <w:rPr>
          <w:i/>
          <w:iCs/>
          <w:color w:val="0000FF"/>
          <w:u w:val="single"/>
        </w:rPr>
        <w:t>https://doi.org/10.1016/j.rechem.2024.102271</w:t>
      </w:r>
    </w:p>
    <w:p w14:paraId="3E0AF08B" w14:textId="77777777" w:rsidR="002E28C1" w:rsidRDefault="00000000">
      <w:pPr>
        <w:pStyle w:val="NormalWeb"/>
      </w:pPr>
      <w:r>
        <w:rPr>
          <w:rStyle w:val="Strong"/>
          <w:b w:val="0"/>
          <w:bCs w:val="0"/>
        </w:rPr>
        <w:t>Kurup, S.S. and Jat, R.K., 2023.</w:t>
      </w:r>
      <w:r>
        <w:br/>
        <w:t xml:space="preserve">A review exploring therapeutic effect of 1,3,4-oxadiazole compounds. </w:t>
      </w:r>
      <w:r>
        <w:rPr>
          <w:rStyle w:val="Emphasis"/>
        </w:rPr>
        <w:t>Journal of Drug Delivery and Therapeutics</w:t>
      </w:r>
      <w:r>
        <w:t>, 13(10), 147–148.</w:t>
      </w:r>
      <w:r>
        <w:rPr>
          <w:i/>
          <w:iCs/>
          <w:color w:val="0000FF"/>
          <w:u w:val="single"/>
        </w:rPr>
        <w:t xml:space="preserve"> https://doi.org/10.22270/jddt.v13i10.5979</w:t>
      </w:r>
    </w:p>
    <w:p w14:paraId="44BACD40" w14:textId="77777777" w:rsidR="002E28C1" w:rsidRDefault="00000000">
      <w:pPr>
        <w:pStyle w:val="NormalWeb"/>
      </w:pPr>
      <w:proofErr w:type="spellStart"/>
      <w:r>
        <w:rPr>
          <w:rStyle w:val="Strong"/>
          <w:b w:val="0"/>
          <w:bCs w:val="0"/>
        </w:rPr>
        <w:t>Manachou</w:t>
      </w:r>
      <w:proofErr w:type="spellEnd"/>
      <w:r>
        <w:rPr>
          <w:rStyle w:val="Strong"/>
          <w:b w:val="0"/>
          <w:bCs w:val="0"/>
        </w:rPr>
        <w:t>, M., El-Masry, A.H., Fahmy, A., et al., 2024.</w:t>
      </w:r>
      <w:r>
        <w:br/>
        <w:t xml:space="preserve">Antibacterial lead identification of novel 1,3,4-oxadiazole derivatives based on molecular computer-aided design approaches. </w:t>
      </w:r>
      <w:r>
        <w:rPr>
          <w:rStyle w:val="Emphasis"/>
        </w:rPr>
        <w:t>Scientific African</w:t>
      </w:r>
      <w:r>
        <w:t>, 23, e02078. https://</w:t>
      </w:r>
      <w:r>
        <w:rPr>
          <w:i/>
          <w:iCs/>
          <w:color w:val="0000FF"/>
          <w:u w:val="single"/>
        </w:rPr>
        <w:t>doi.org/10.1016/j.sciaf.2024.e02078</w:t>
      </w:r>
    </w:p>
    <w:p w14:paraId="4D60F866" w14:textId="77777777" w:rsidR="002E28C1" w:rsidRDefault="00000000">
      <w:pPr>
        <w:pStyle w:val="NormalWeb"/>
      </w:pPr>
      <w:r>
        <w:rPr>
          <w:rStyle w:val="Strong"/>
          <w:b w:val="0"/>
          <w:bCs w:val="0"/>
        </w:rPr>
        <w:t>Matta, R., Al-</w:t>
      </w:r>
      <w:proofErr w:type="spellStart"/>
      <w:r>
        <w:rPr>
          <w:rStyle w:val="Strong"/>
          <w:b w:val="0"/>
          <w:bCs w:val="0"/>
        </w:rPr>
        <w:t>Harrasi</w:t>
      </w:r>
      <w:proofErr w:type="spellEnd"/>
      <w:r>
        <w:rPr>
          <w:rStyle w:val="Strong"/>
          <w:b w:val="0"/>
          <w:bCs w:val="0"/>
        </w:rPr>
        <w:t>, A., Shah, A., et al., 2023.</w:t>
      </w:r>
      <w:r>
        <w:br/>
        <w:t xml:space="preserve">Synthesis, antimicrobial and antioxidant activity of triazole, pyrazole containing thiazole derivatives and molecular docking studies. </w:t>
      </w:r>
      <w:r>
        <w:rPr>
          <w:rStyle w:val="Emphasis"/>
        </w:rPr>
        <w:t>BMC Chemistry</w:t>
      </w:r>
      <w:r>
        <w:t>, 17, 61. https://</w:t>
      </w:r>
      <w:r>
        <w:rPr>
          <w:i/>
          <w:iCs/>
          <w:color w:val="0000FF"/>
          <w:u w:val="single"/>
        </w:rPr>
        <w:t>doi.org/10.1186/s13065-023-00965-8</w:t>
      </w:r>
    </w:p>
    <w:p w14:paraId="1C264D54" w14:textId="77777777" w:rsidR="002E28C1" w:rsidRDefault="00000000">
      <w:pPr>
        <w:pStyle w:val="NormalWeb"/>
      </w:pPr>
      <w:r>
        <w:rPr>
          <w:rStyle w:val="Strong"/>
          <w:b w:val="0"/>
          <w:bCs w:val="0"/>
        </w:rPr>
        <w:t>Patel, U.K., Chaudhari, P.S., Patel, N.B., et al., 2024.</w:t>
      </w:r>
      <w:r>
        <w:br/>
        <w:t xml:space="preserve">Synthesis of ciprofloxacin-linked 1,2,3-triazole conjugates as potential antimicrobial agents. </w:t>
      </w:r>
      <w:r>
        <w:rPr>
          <w:rStyle w:val="Emphasis"/>
        </w:rPr>
        <w:t>RSC Advances</w:t>
      </w:r>
      <w:r>
        <w:t xml:space="preserve">, 14, 11621–11633. </w:t>
      </w:r>
      <w:r>
        <w:rPr>
          <w:i/>
          <w:iCs/>
          <w:color w:val="0000FF"/>
          <w:u w:val="single"/>
        </w:rPr>
        <w:t>https://doi.org/10.1039/D4RA01332H</w:t>
      </w:r>
    </w:p>
    <w:p w14:paraId="0471550E" w14:textId="77777777" w:rsidR="002E28C1" w:rsidRDefault="00000000">
      <w:pPr>
        <w:pStyle w:val="NormalWeb"/>
      </w:pPr>
      <w:r>
        <w:rPr>
          <w:rStyle w:val="Strong"/>
          <w:b w:val="0"/>
          <w:bCs w:val="0"/>
        </w:rPr>
        <w:t>Rao, G.V., Kumar, K.A., Reddy, C.S., et al., 2023.</w:t>
      </w:r>
      <w:r>
        <w:br/>
        <w:t xml:space="preserve">Synthesis, antimicrobial activity, and in silico studies of fluoroquinolones bearing 1,3,4-oxadiazolyl-triazole derivatives. </w:t>
      </w:r>
      <w:r>
        <w:rPr>
          <w:rStyle w:val="Emphasis"/>
        </w:rPr>
        <w:t>Journal of Heterocyclic Chemistry</w:t>
      </w:r>
      <w:r>
        <w:t xml:space="preserve">, 60, 1517–1534. </w:t>
      </w:r>
      <w:r>
        <w:rPr>
          <w:i/>
          <w:iCs/>
          <w:color w:val="0000FF"/>
          <w:u w:val="single"/>
        </w:rPr>
        <w:t>https://doi.org/10.1002/jhet.4700</w:t>
      </w:r>
    </w:p>
    <w:p w14:paraId="0AD89CC8" w14:textId="77777777" w:rsidR="002E28C1" w:rsidRDefault="00000000">
      <w:pPr>
        <w:pStyle w:val="NormalWeb"/>
      </w:pPr>
      <w:r>
        <w:rPr>
          <w:rStyle w:val="Strong"/>
          <w:b w:val="0"/>
          <w:bCs w:val="0"/>
        </w:rPr>
        <w:t>Rashdan, H.R.M., Abdelmonsef, A.H., Shehata, I.A., et al., 2021.</w:t>
      </w:r>
      <w:r>
        <w:br/>
        <w:t xml:space="preserve">Antibacterial activities and molecular docking of novel sulfone bis-compound containing bioactive 1,2,3-triazole moiety. </w:t>
      </w:r>
      <w:r>
        <w:rPr>
          <w:rStyle w:val="Emphasis"/>
        </w:rPr>
        <w:t>Molecules</w:t>
      </w:r>
      <w:r>
        <w:t>, 26, 4817. https://d</w:t>
      </w:r>
      <w:r>
        <w:rPr>
          <w:i/>
          <w:iCs/>
          <w:color w:val="0000FF"/>
          <w:u w:val="single"/>
        </w:rPr>
        <w:t>oi.org/10.3390/molecules26164817</w:t>
      </w:r>
    </w:p>
    <w:p w14:paraId="33035BF4" w14:textId="77777777" w:rsidR="002E28C1" w:rsidRDefault="00000000">
      <w:pPr>
        <w:pStyle w:val="NormalWeb"/>
      </w:pPr>
      <w:proofErr w:type="spellStart"/>
      <w:r>
        <w:rPr>
          <w:rStyle w:val="Strong"/>
          <w:b w:val="0"/>
          <w:bCs w:val="0"/>
        </w:rPr>
        <w:t>Rasras</w:t>
      </w:r>
      <w:proofErr w:type="spellEnd"/>
      <w:r>
        <w:rPr>
          <w:rStyle w:val="Strong"/>
          <w:b w:val="0"/>
          <w:bCs w:val="0"/>
        </w:rPr>
        <w:t>, A.J., Al-</w:t>
      </w:r>
      <w:proofErr w:type="spellStart"/>
      <w:r>
        <w:rPr>
          <w:rStyle w:val="Strong"/>
          <w:b w:val="0"/>
          <w:bCs w:val="0"/>
        </w:rPr>
        <w:t>Qawasmeh</w:t>
      </w:r>
      <w:proofErr w:type="spellEnd"/>
      <w:r>
        <w:rPr>
          <w:rStyle w:val="Strong"/>
          <w:b w:val="0"/>
          <w:bCs w:val="0"/>
        </w:rPr>
        <w:t xml:space="preserve">, R.A. and </w:t>
      </w:r>
      <w:proofErr w:type="spellStart"/>
      <w:r>
        <w:rPr>
          <w:rStyle w:val="Strong"/>
          <w:b w:val="0"/>
          <w:bCs w:val="0"/>
        </w:rPr>
        <w:t>Lataifeh</w:t>
      </w:r>
      <w:proofErr w:type="spellEnd"/>
      <w:r>
        <w:rPr>
          <w:rStyle w:val="Strong"/>
          <w:b w:val="0"/>
          <w:bCs w:val="0"/>
        </w:rPr>
        <w:t>, A.R., 2022.</w:t>
      </w:r>
      <w:r>
        <w:br/>
      </w:r>
      <w:proofErr w:type="spellStart"/>
      <w:r>
        <w:t>Cholyl</w:t>
      </w:r>
      <w:proofErr w:type="spellEnd"/>
      <w:r>
        <w:t xml:space="preserve"> 1,3,4-oxadiazole hybrid compounds: design, synthesis and antimicrobial assessment. </w:t>
      </w:r>
      <w:r>
        <w:rPr>
          <w:rStyle w:val="Emphasis"/>
        </w:rPr>
        <w:t>Beilstein Journal of Organic Chemistry</w:t>
      </w:r>
      <w:r>
        <w:t xml:space="preserve">, 18, 631–638. </w:t>
      </w:r>
      <w:r>
        <w:rPr>
          <w:i/>
          <w:iCs/>
          <w:color w:val="0000FF"/>
          <w:u w:val="single"/>
        </w:rPr>
        <w:t>https://doi.org/10.3762/bjoc.18.63</w:t>
      </w:r>
    </w:p>
    <w:p w14:paraId="22EB7B6E" w14:textId="77777777" w:rsidR="002E28C1" w:rsidRDefault="00000000">
      <w:pPr>
        <w:pStyle w:val="NormalWeb"/>
      </w:pPr>
      <w:r>
        <w:rPr>
          <w:rStyle w:val="Strong"/>
          <w:b w:val="0"/>
          <w:bCs w:val="0"/>
        </w:rPr>
        <w:t>Razzaq, A.S. and Nahi, R.J., 2021.</w:t>
      </w:r>
      <w:r>
        <w:br/>
        <w:t xml:space="preserve">In vitro evaluation of antioxidant and antibacterial activities of new 1,2,3-triazole derivatives containing 1,2,4-triazole ring. </w:t>
      </w:r>
      <w:r>
        <w:rPr>
          <w:rStyle w:val="Emphasis"/>
        </w:rPr>
        <w:t>Systematic Reviews in Pharmacy</w:t>
      </w:r>
      <w:r>
        <w:t xml:space="preserve">, 12(1), 196–200. </w:t>
      </w:r>
      <w:r>
        <w:rPr>
          <w:i/>
          <w:iCs/>
          <w:color w:val="0000FF"/>
          <w:u w:val="single"/>
        </w:rPr>
        <w:t>https://doi.org/10.31838/srp.2021.1.31</w:t>
      </w:r>
    </w:p>
    <w:p w14:paraId="3EEAF1FE" w14:textId="77777777" w:rsidR="002E28C1" w:rsidRDefault="00000000">
      <w:pPr>
        <w:pStyle w:val="NormalWeb"/>
      </w:pPr>
      <w:r>
        <w:rPr>
          <w:rStyle w:val="Strong"/>
          <w:b w:val="0"/>
          <w:bCs w:val="0"/>
        </w:rPr>
        <w:lastRenderedPageBreak/>
        <w:t>Saeed, S., Rizwan, K., Zafar, A., et al., 2024.</w:t>
      </w:r>
      <w:r>
        <w:br/>
        <w:t xml:space="preserve">Exploring theophylline-1,2,4-triazole tethered N-phenyl acetamides as antimicrobial agents: synthesis, biological evaluation and docking studies. </w:t>
      </w:r>
      <w:r>
        <w:rPr>
          <w:rStyle w:val="Emphasis"/>
        </w:rPr>
        <w:t>Frontiers in Chemistry</w:t>
      </w:r>
      <w:r>
        <w:t xml:space="preserve">, 12, 1372378. </w:t>
      </w:r>
      <w:r>
        <w:rPr>
          <w:i/>
          <w:iCs/>
          <w:color w:val="0000FF"/>
          <w:u w:val="single"/>
        </w:rPr>
        <w:t>https://doi.org/10.3389/fchem.2024.1372378</w:t>
      </w:r>
    </w:p>
    <w:p w14:paraId="56527E9B" w14:textId="77777777" w:rsidR="002E28C1" w:rsidRDefault="00000000">
      <w:pPr>
        <w:pStyle w:val="NormalWeb"/>
      </w:pPr>
      <w:r>
        <w:rPr>
          <w:rStyle w:val="Strong"/>
          <w:b w:val="0"/>
          <w:bCs w:val="0"/>
        </w:rPr>
        <w:t>Sekhar, M.M., Reddy, K.H. and Venkatesh, G., 2018.</w:t>
      </w:r>
      <w:r>
        <w:br/>
        <w:t xml:space="preserve">Synthesis and antimicrobial activity of </w:t>
      </w:r>
      <w:proofErr w:type="spellStart"/>
      <w:r>
        <w:t>pyrimidinyl</w:t>
      </w:r>
      <w:proofErr w:type="spellEnd"/>
      <w:r>
        <w:t xml:space="preserve"> 1,3,4-oxadiazoles, 1,3,4-thiadiazoles and 1,2,4-triazoles. </w:t>
      </w:r>
      <w:r>
        <w:rPr>
          <w:rStyle w:val="Emphasis"/>
        </w:rPr>
        <w:t>European Journal of Medicinal Chemistry</w:t>
      </w:r>
      <w:r>
        <w:t xml:space="preserve">, 145, 1–10. </w:t>
      </w:r>
      <w:r>
        <w:rPr>
          <w:i/>
          <w:iCs/>
          <w:color w:val="0000FF"/>
          <w:u w:val="single"/>
        </w:rPr>
        <w:t>https://doi.org/10.1016/j.ejmech.2017.12.06</w:t>
      </w:r>
      <w:r>
        <w:t>7</w:t>
      </w:r>
    </w:p>
    <w:p w14:paraId="35CFD846" w14:textId="77777777" w:rsidR="002E28C1" w:rsidRDefault="00000000">
      <w:pPr>
        <w:pStyle w:val="NormalWeb"/>
      </w:pPr>
      <w:r>
        <w:rPr>
          <w:rStyle w:val="Strong"/>
        </w:rPr>
        <w:t>Song, X., Li, Z., Li, D., et al., 2018.</w:t>
      </w:r>
      <w:r>
        <w:br/>
        <w:t xml:space="preserve">Synthesis and investigation of the antibacterial activity and action mechanism of 1,3,4-oxadiazole thioether derivatives. </w:t>
      </w:r>
      <w:r>
        <w:rPr>
          <w:rStyle w:val="Emphasis"/>
        </w:rPr>
        <w:t>Pesticide Biochemistry and Physiology</w:t>
      </w:r>
      <w:r>
        <w:t xml:space="preserve">, 147, 11–19. </w:t>
      </w:r>
      <w:r>
        <w:rPr>
          <w:i/>
          <w:iCs/>
          <w:color w:val="0000FF"/>
          <w:u w:val="single"/>
        </w:rPr>
        <w:t>https://doi.org/10.1016/j.pestbp.2017.10.01</w:t>
      </w:r>
      <w:r>
        <w:t>1</w:t>
      </w:r>
    </w:p>
    <w:p w14:paraId="01A8D8B7" w14:textId="77777777" w:rsidR="002E28C1" w:rsidRDefault="00000000">
      <w:pPr>
        <w:pStyle w:val="NormalWeb"/>
      </w:pPr>
      <w:r>
        <w:rPr>
          <w:rStyle w:val="Strong"/>
        </w:rPr>
        <w:t xml:space="preserve">Strzelecka, M., Śliwinski, W. and </w:t>
      </w:r>
      <w:proofErr w:type="spellStart"/>
      <w:r>
        <w:rPr>
          <w:rStyle w:val="Strong"/>
        </w:rPr>
        <w:t>Wyszogrodzka</w:t>
      </w:r>
      <w:proofErr w:type="spellEnd"/>
      <w:r>
        <w:rPr>
          <w:rStyle w:val="Strong"/>
        </w:rPr>
        <w:t>, G., 2021.</w:t>
      </w:r>
      <w:r>
        <w:br/>
        <w:t xml:space="preserve">1,2,4-Triazoles as important antibacterial agents. </w:t>
      </w:r>
      <w:r>
        <w:rPr>
          <w:rStyle w:val="Emphasis"/>
        </w:rPr>
        <w:t>Pharmaceuticals</w:t>
      </w:r>
      <w:r>
        <w:t xml:space="preserve">, 14, 224. </w:t>
      </w:r>
      <w:r>
        <w:rPr>
          <w:i/>
          <w:iCs/>
          <w:color w:val="0000FF"/>
          <w:u w:val="single"/>
        </w:rPr>
        <w:t>https://doi.org/10.3390/ph14030224</w:t>
      </w:r>
    </w:p>
    <w:p w14:paraId="458E8B71" w14:textId="77777777" w:rsidR="002E28C1" w:rsidRDefault="00000000">
      <w:pPr>
        <w:pStyle w:val="NormalWeb"/>
      </w:pPr>
      <w:proofErr w:type="spellStart"/>
      <w:r>
        <w:rPr>
          <w:rStyle w:val="Strong"/>
        </w:rPr>
        <w:t>Sucman</w:t>
      </w:r>
      <w:proofErr w:type="spellEnd"/>
      <w:r>
        <w:rPr>
          <w:rStyle w:val="Strong"/>
        </w:rPr>
        <w:t>, N., Birsan, M., Doria, G., et al., 2024.</w:t>
      </w:r>
      <w:r>
        <w:br/>
        <w:t xml:space="preserve">New 1H-1,2,4-triazolyl derivatives as antimicrobial agents: synthesis, biological and in silico evaluation. </w:t>
      </w:r>
      <w:r>
        <w:rPr>
          <w:rStyle w:val="Emphasis"/>
        </w:rPr>
        <w:t>Chemistry &amp; Biodiversity</w:t>
      </w:r>
      <w:r>
        <w:t xml:space="preserve">, 21(5), e202400316. </w:t>
      </w:r>
      <w:r>
        <w:rPr>
          <w:i/>
          <w:iCs/>
          <w:color w:val="0000FF"/>
          <w:u w:val="single"/>
        </w:rPr>
        <w:t>https://doi.org/10.1002/cbdv.202400316</w:t>
      </w:r>
    </w:p>
    <w:p w14:paraId="08885947" w14:textId="77777777" w:rsidR="002E28C1" w:rsidRDefault="00000000">
      <w:pPr>
        <w:pStyle w:val="NormalWeb"/>
      </w:pPr>
      <w:r>
        <w:rPr>
          <w:rStyle w:val="Strong"/>
        </w:rPr>
        <w:t>Tian, G., Zhang, H., Liu, X., et al., 2023.</w:t>
      </w:r>
      <w:r>
        <w:br/>
        <w:t xml:space="preserve">Recent advances in 1,2,3- and 1,2,4-triazole hybrids as antimicrobials and their SAR: a critical review. </w:t>
      </w:r>
      <w:r>
        <w:rPr>
          <w:rStyle w:val="Emphasis"/>
        </w:rPr>
        <w:t>European Journal of Medicinal Chemistry</w:t>
      </w:r>
      <w:r>
        <w:t xml:space="preserve">, 259, 115603. </w:t>
      </w:r>
      <w:r>
        <w:rPr>
          <w:i/>
          <w:iCs/>
          <w:color w:val="0000FF"/>
          <w:u w:val="single"/>
        </w:rPr>
        <w:t>https://doi.org/10.1016/j.ejmech.2023.115603</w:t>
      </w:r>
    </w:p>
    <w:p w14:paraId="71D5B4F5" w14:textId="77777777" w:rsidR="002E28C1" w:rsidRDefault="00000000">
      <w:pPr>
        <w:pStyle w:val="NormalWeb"/>
      </w:pPr>
      <w:r>
        <w:rPr>
          <w:rStyle w:val="Strong"/>
        </w:rPr>
        <w:t>Tiwari, D., Yadav, S. and Pathak, D., 2022.</w:t>
      </w:r>
      <w:r>
        <w:br/>
        <w:t xml:space="preserve">1,3,4-Oxadiazole derivatives as potential antimicrobial agents. </w:t>
      </w:r>
      <w:r>
        <w:rPr>
          <w:rStyle w:val="Emphasis"/>
        </w:rPr>
        <w:t>Chemical Biology &amp; Drug Design</w:t>
      </w:r>
      <w:r>
        <w:t>, 100, 1086–1121</w:t>
      </w:r>
      <w:r>
        <w:rPr>
          <w:i/>
          <w:iCs/>
          <w:color w:val="0000FF"/>
          <w:u w:val="single"/>
        </w:rPr>
        <w:t>. https://doi.org/10.1111/cbdd.14100</w:t>
      </w:r>
    </w:p>
    <w:p w14:paraId="2E8C15BD" w14:textId="77777777" w:rsidR="002E28C1" w:rsidRDefault="00000000">
      <w:pPr>
        <w:pStyle w:val="NormalWeb"/>
      </w:pPr>
      <w:r>
        <w:rPr>
          <w:rStyle w:val="Strong"/>
        </w:rPr>
        <w:t>Tok, F., Cakmak, O. and Genç, S., 2022.</w:t>
      </w:r>
      <w:r>
        <w:br/>
        <w:t xml:space="preserve">Synthesis of some novel 1,3,4-oxadiazole derivatives and evaluation of their antimicrobial activities. </w:t>
      </w:r>
      <w:r>
        <w:rPr>
          <w:rStyle w:val="Emphasis"/>
        </w:rPr>
        <w:t>Synthetic Communications</w:t>
      </w:r>
      <w:r>
        <w:t xml:space="preserve">, 52, 4280–4290. </w:t>
      </w:r>
      <w:r>
        <w:rPr>
          <w:i/>
          <w:iCs/>
          <w:color w:val="0000FF"/>
          <w:u w:val="single"/>
        </w:rPr>
        <w:t>https://doi.org/10.1080/00397911.2022.2060751</w:t>
      </w:r>
    </w:p>
    <w:p w14:paraId="4F2ABB84" w14:textId="77777777" w:rsidR="002E28C1" w:rsidRDefault="00000000">
      <w:pPr>
        <w:pStyle w:val="NormalWeb"/>
      </w:pPr>
      <w:r>
        <w:rPr>
          <w:rStyle w:val="Strong"/>
        </w:rPr>
        <w:t xml:space="preserve">Todorov, L., </w:t>
      </w:r>
      <w:proofErr w:type="spellStart"/>
      <w:r>
        <w:rPr>
          <w:rStyle w:val="Strong"/>
        </w:rPr>
        <w:t>Krasteva</w:t>
      </w:r>
      <w:proofErr w:type="spellEnd"/>
      <w:r>
        <w:rPr>
          <w:rStyle w:val="Strong"/>
        </w:rPr>
        <w:t>, M. and Banfi, E., 2023.</w:t>
      </w:r>
      <w:r>
        <w:br/>
        <w:t xml:space="preserve">1,2,3-Triazoles and their metal chelates with antimicrobial activity: A mini-review. </w:t>
      </w:r>
      <w:r>
        <w:rPr>
          <w:rStyle w:val="Emphasis"/>
        </w:rPr>
        <w:t>Frontiers in Chemistry</w:t>
      </w:r>
      <w:r>
        <w:t>, 11, 1247805.</w:t>
      </w:r>
      <w:r>
        <w:rPr>
          <w:i/>
          <w:iCs/>
          <w:color w:val="0000FF"/>
          <w:u w:val="single"/>
        </w:rPr>
        <w:t xml:space="preserve"> https://doi.org/10.3389/fchem.2023.1247805</w:t>
      </w:r>
    </w:p>
    <w:p w14:paraId="35689836" w14:textId="77777777" w:rsidR="002E28C1" w:rsidRDefault="00000000">
      <w:pPr>
        <w:pStyle w:val="NormalWeb"/>
      </w:pPr>
      <w:r>
        <w:rPr>
          <w:rStyle w:val="Strong"/>
        </w:rPr>
        <w:t>Upadhyay, D.B., Gupta, A., Verma, P., et al., 2025.</w:t>
      </w:r>
      <w:r>
        <w:br/>
        <w:t xml:space="preserve">Antimicrobial efficacy of 1,2,3-triazole-incorporated indole derivatives. </w:t>
      </w:r>
      <w:r>
        <w:rPr>
          <w:rStyle w:val="Emphasis"/>
        </w:rPr>
        <w:t>ACS Biomed. Chem. Au</w:t>
      </w:r>
      <w:r>
        <w:t xml:space="preserve">. </w:t>
      </w:r>
      <w:r>
        <w:rPr>
          <w:i/>
          <w:iCs/>
          <w:color w:val="0000FF"/>
          <w:u w:val="single"/>
        </w:rPr>
        <w:t>https://doi.org/10.1021/acsbiomedchemau.4c00060</w:t>
      </w:r>
    </w:p>
    <w:p w14:paraId="08A4209E" w14:textId="77777777" w:rsidR="002E28C1" w:rsidRDefault="00000000">
      <w:pPr>
        <w:pStyle w:val="NormalWeb"/>
      </w:pPr>
      <w:r>
        <w:rPr>
          <w:rStyle w:val="Strong"/>
        </w:rPr>
        <w:t>Xu, C., Wang, Y., Zhang, X., et al., 2024.</w:t>
      </w:r>
      <w:r>
        <w:br/>
        <w:t xml:space="preserve">Synthesis of new 1,2,3-triazole derivatives and their potential antibacterial and biofilm inhibition activities. </w:t>
      </w:r>
      <w:r>
        <w:rPr>
          <w:rStyle w:val="Emphasis"/>
        </w:rPr>
        <w:t>Frontiers in Chemistry</w:t>
      </w:r>
      <w:r>
        <w:t xml:space="preserve">, 12, 1473097. </w:t>
      </w:r>
      <w:hyperlink r:id="rId34" w:tgtFrame="_new" w:history="1">
        <w:r w:rsidR="002E28C1">
          <w:rPr>
            <w:rStyle w:val="Hyperlink"/>
            <w:i/>
            <w:iCs/>
          </w:rPr>
          <w:t>https://doi.org/10.3389/fchem.2024.147309</w:t>
        </w:r>
        <w:r w:rsidR="002E28C1">
          <w:rPr>
            <w:rStyle w:val="Hyperlink"/>
          </w:rPr>
          <w:t>7</w:t>
        </w:r>
      </w:hyperlink>
    </w:p>
    <w:p w14:paraId="1B840E70" w14:textId="77777777" w:rsidR="002E28C1" w:rsidRDefault="002E28C1">
      <w:pPr>
        <w:jc w:val="both"/>
        <w:rPr>
          <w:rFonts w:cstheme="minorHAnsi"/>
        </w:rPr>
      </w:pPr>
    </w:p>
    <w:p w14:paraId="342AABA4" w14:textId="77777777" w:rsidR="002E28C1" w:rsidRDefault="002E28C1">
      <w:pPr>
        <w:spacing w:line="360" w:lineRule="auto"/>
        <w:jc w:val="both"/>
        <w:rPr>
          <w:rFonts w:ascii="Times New Roman" w:hAnsi="Times New Roman" w:cs="Times New Roman"/>
          <w:lang w:val="en-US"/>
        </w:rPr>
      </w:pPr>
    </w:p>
    <w:p w14:paraId="64077AF5" w14:textId="77777777" w:rsidR="002E28C1" w:rsidRDefault="002E28C1">
      <w:pPr>
        <w:spacing w:line="360" w:lineRule="auto"/>
        <w:jc w:val="both"/>
        <w:rPr>
          <w:rFonts w:ascii="Times New Roman" w:hAnsi="Times New Roman" w:cs="Times New Roman"/>
        </w:rPr>
      </w:pPr>
    </w:p>
    <w:p w14:paraId="0E04F4AE" w14:textId="77777777" w:rsidR="002E28C1" w:rsidRDefault="002E28C1">
      <w:pPr>
        <w:spacing w:line="360" w:lineRule="auto"/>
        <w:jc w:val="both"/>
        <w:rPr>
          <w:rFonts w:ascii="Times New Roman" w:hAnsi="Times New Roman" w:cs="Times New Roman"/>
        </w:rPr>
      </w:pPr>
    </w:p>
    <w:bookmarkEnd w:id="1"/>
    <w:p w14:paraId="6F2B6B5C" w14:textId="77777777" w:rsidR="002E28C1" w:rsidRDefault="002E28C1">
      <w:pPr>
        <w:jc w:val="both"/>
        <w:rPr>
          <w:rFonts w:ascii="Times New Roman" w:hAnsi="Times New Roman" w:cs="Times New Roman"/>
        </w:rPr>
      </w:pPr>
    </w:p>
    <w:sectPr w:rsidR="002E28C1">
      <w:type w:val="continuous"/>
      <w:pgSz w:w="11906" w:h="16838"/>
      <w:pgMar w:top="1440" w:right="1440" w:bottom="1440" w:left="1440" w:header="720" w:footer="720" w:gutter="0"/>
      <w:cols w:num="2" w:space="720" w:equalWidth="0">
        <w:col w:w="4300" w:space="425"/>
        <w:col w:w="430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7917" w14:textId="77777777" w:rsidR="003E1713" w:rsidRDefault="003E1713">
      <w:pPr>
        <w:spacing w:line="240" w:lineRule="auto"/>
      </w:pPr>
      <w:r>
        <w:separator/>
      </w:r>
    </w:p>
  </w:endnote>
  <w:endnote w:type="continuationSeparator" w:id="0">
    <w:p w14:paraId="1545EBBF" w14:textId="77777777" w:rsidR="003E1713" w:rsidRDefault="003E1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harisSIL">
    <w:altName w:val="Segoe Print"/>
    <w:charset w:val="00"/>
    <w:family w:val="auto"/>
    <w:pitch w:val="default"/>
  </w:font>
  <w:font w:name="mn-ea">
    <w:altName w:val="Segoe Print"/>
    <w:charset w:val="00"/>
    <w:family w:val="auto"/>
    <w:pitch w:val="default"/>
  </w:font>
  <w:font w:name="Aptos">
    <w:charset w:val="00"/>
    <w:family w:val="swiss"/>
    <w:pitch w:val="variable"/>
    <w:sig w:usb0="20000287" w:usb1="00000003" w:usb2="00000000" w:usb3="00000000" w:csb0="0000019F" w:csb1="00000000"/>
  </w:font>
  <w:font w:name="mn-cs">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E774" w14:textId="77777777" w:rsidR="002E28C1" w:rsidRDefault="00000000">
    <w:pPr>
      <w:pStyle w:val="Footer"/>
    </w:pPr>
    <w:r>
      <w:rPr>
        <w:noProof/>
      </w:rPr>
      <mc:AlternateContent>
        <mc:Choice Requires="wps">
          <w:drawing>
            <wp:anchor distT="0" distB="0" distL="114300" distR="114300" simplePos="0" relativeHeight="251659264" behindDoc="0" locked="0" layoutInCell="1" allowOverlap="1" wp14:anchorId="4A4DF376" wp14:editId="2B81E1D7">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1C521" w14:textId="77777777" w:rsidR="002E28C1"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DF376"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0C1C521" w14:textId="77777777" w:rsidR="002E28C1"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6793" w14:textId="77777777" w:rsidR="003E1713" w:rsidRDefault="003E1713">
      <w:pPr>
        <w:spacing w:after="0"/>
      </w:pPr>
      <w:r>
        <w:separator/>
      </w:r>
    </w:p>
  </w:footnote>
  <w:footnote w:type="continuationSeparator" w:id="0">
    <w:p w14:paraId="4E19EF33" w14:textId="77777777" w:rsidR="003E1713" w:rsidRDefault="003E171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61C728"/>
    <w:multiLevelType w:val="singleLevel"/>
    <w:tmpl w:val="8E61C728"/>
    <w:lvl w:ilvl="0">
      <w:start w:val="9"/>
      <w:numFmt w:val="decimal"/>
      <w:suff w:val="space"/>
      <w:lvlText w:val="%1."/>
      <w:lvlJc w:val="left"/>
      <w:rPr>
        <w:rFonts w:hint="default"/>
        <w:b/>
        <w:bCs/>
      </w:rPr>
    </w:lvl>
  </w:abstractNum>
  <w:abstractNum w:abstractNumId="1" w15:restartNumberingAfterBreak="0">
    <w:nsid w:val="AC46E71D"/>
    <w:multiLevelType w:val="singleLevel"/>
    <w:tmpl w:val="AC46E71D"/>
    <w:lvl w:ilvl="0">
      <w:start w:val="12"/>
      <w:numFmt w:val="decimal"/>
      <w:suff w:val="space"/>
      <w:lvlText w:val="%1."/>
      <w:lvlJc w:val="left"/>
      <w:rPr>
        <w:rFonts w:hint="default"/>
        <w:b/>
        <w:bCs/>
      </w:rPr>
    </w:lvl>
  </w:abstractNum>
  <w:abstractNum w:abstractNumId="2" w15:restartNumberingAfterBreak="0">
    <w:nsid w:val="74D85432"/>
    <w:multiLevelType w:val="multilevel"/>
    <w:tmpl w:val="74D85432"/>
    <w:lvl w:ilvl="0">
      <w:start w:val="1"/>
      <w:numFmt w:val="decimal"/>
      <w:lvlText w:val="%1."/>
      <w:lvlJc w:val="left"/>
      <w:pPr>
        <w:ind w:left="396" w:hanging="396"/>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6394836">
    <w:abstractNumId w:val="2"/>
  </w:num>
  <w:num w:numId="2" w16cid:durableId="1591544843">
    <w:abstractNumId w:val="0"/>
  </w:num>
  <w:num w:numId="3" w16cid:durableId="132554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22F67B9"/>
    <w:rsid w:val="0022111D"/>
    <w:rsid w:val="00231614"/>
    <w:rsid w:val="002E28C1"/>
    <w:rsid w:val="003E1713"/>
    <w:rsid w:val="006003F4"/>
    <w:rsid w:val="00690EDD"/>
    <w:rsid w:val="008A2ECD"/>
    <w:rsid w:val="009049C3"/>
    <w:rsid w:val="009F1E01"/>
    <w:rsid w:val="00A035F6"/>
    <w:rsid w:val="00A320BB"/>
    <w:rsid w:val="00B737C4"/>
    <w:rsid w:val="00C20BF4"/>
    <w:rsid w:val="00C63EF7"/>
    <w:rsid w:val="0C8F5B45"/>
    <w:rsid w:val="133142B3"/>
    <w:rsid w:val="168D5880"/>
    <w:rsid w:val="17A6798F"/>
    <w:rsid w:val="187773FC"/>
    <w:rsid w:val="1FDA19EB"/>
    <w:rsid w:val="22A66AD8"/>
    <w:rsid w:val="26297AF7"/>
    <w:rsid w:val="2A1F7D75"/>
    <w:rsid w:val="2CF4444F"/>
    <w:rsid w:val="4F4B7261"/>
    <w:rsid w:val="51D04539"/>
    <w:rsid w:val="522F67B9"/>
    <w:rsid w:val="54D11947"/>
    <w:rsid w:val="57BA4E91"/>
    <w:rsid w:val="587A7F35"/>
    <w:rsid w:val="591111D7"/>
    <w:rsid w:val="61FE4473"/>
    <w:rsid w:val="66DC51DB"/>
    <w:rsid w:val="78B35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36AEF"/>
  <w15:docId w15:val="{9697C36E-2522-4397-94E1-397770F7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uiPriority w:val="9"/>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line="240" w:lineRule="auto"/>
    </w:pPr>
    <w:rPr>
      <w:kern w:val="0"/>
      <w:lang w:val="en-US"/>
      <w14:ligatures w14:val="none"/>
    </w:rPr>
  </w:style>
  <w:style w:type="character" w:styleId="Emphasis">
    <w:name w:val="Emphasis"/>
    <w:basedOn w:val="DefaultParagraphFont"/>
    <w:uiPriority w:val="20"/>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semiHidden/>
    <w:unhideWhenUsed/>
    <w:qFormat/>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table" w:customStyle="1" w:styleId="Table">
    <w:name w:val="Table"/>
    <w:semiHidden/>
    <w:unhideWhenUsed/>
    <w:qFormat/>
    <w:pPr>
      <w:spacing w:after="200"/>
    </w:pPr>
    <w:rPr>
      <w:lang w:val="en-US"/>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s://doi.org/10.3389/fchem.2024.1473097"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oleObject" Target="embeddings/oleObject8.bin"/><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4332</Words>
  <Characters>24694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dc:creator>
  <cp:lastModifiedBy>Kamlesh Sharda</cp:lastModifiedBy>
  <cp:revision>2</cp:revision>
  <dcterms:created xsi:type="dcterms:W3CDTF">2026-06-30T11:01:00Z</dcterms:created>
  <dcterms:modified xsi:type="dcterms:W3CDTF">2026-06-30T11:01:00Z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F116AB6D2C6649FABE83B609AC410595_11</vt:lpwstr>
  </property>
</Properties>
</file>