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613B5" w14:textId="4F94A9AC" w:rsidR="001C40FD" w:rsidRPr="006E42D0" w:rsidRDefault="001C40FD" w:rsidP="006E42D0">
      <w:pPr>
        <w:spacing w:line="240" w:lineRule="auto"/>
        <w:jc w:val="both"/>
        <w:rPr>
          <w:rFonts w:asciiTheme="majorBidi" w:hAnsiTheme="majorBidi" w:cstheme="majorBidi"/>
          <w:b/>
          <w:bCs/>
          <w:sz w:val="26"/>
          <w:lang w:val="en-US"/>
        </w:rPr>
      </w:pPr>
      <w:r w:rsidRPr="006E42D0">
        <w:rPr>
          <w:rFonts w:asciiTheme="majorBidi" w:hAnsiTheme="majorBidi" w:cstheme="majorBidi"/>
          <w:b/>
          <w:bCs/>
          <w:sz w:val="26"/>
          <w:lang w:val="en-US"/>
        </w:rPr>
        <w:t xml:space="preserve">Angiotensin-Converting Enzyme </w:t>
      </w:r>
      <w:r w:rsidR="00253978" w:rsidRPr="006E42D0">
        <w:rPr>
          <w:rFonts w:asciiTheme="majorBidi" w:hAnsiTheme="majorBidi" w:cstheme="majorBidi"/>
          <w:b/>
          <w:bCs/>
          <w:sz w:val="26"/>
          <w:lang w:val="en-US"/>
        </w:rPr>
        <w:t>Gene</w:t>
      </w:r>
      <w:r w:rsidRPr="006E42D0">
        <w:rPr>
          <w:rFonts w:asciiTheme="majorBidi" w:hAnsiTheme="majorBidi" w:cstheme="majorBidi"/>
          <w:b/>
          <w:bCs/>
          <w:sz w:val="26"/>
          <w:lang w:val="en-US"/>
        </w:rPr>
        <w:t xml:space="preserve"> Polymorphism</w:t>
      </w:r>
      <w:r w:rsidR="00690677" w:rsidRPr="006E42D0">
        <w:rPr>
          <w:rFonts w:asciiTheme="majorBidi" w:hAnsiTheme="majorBidi" w:cstheme="majorBidi"/>
          <w:b/>
          <w:bCs/>
          <w:sz w:val="26"/>
          <w:lang w:val="en-US"/>
        </w:rPr>
        <w:t xml:space="preserve"> </w:t>
      </w:r>
      <w:r w:rsidR="00253978" w:rsidRPr="006E42D0">
        <w:rPr>
          <w:rFonts w:asciiTheme="majorBidi" w:hAnsiTheme="majorBidi" w:cstheme="majorBidi"/>
          <w:b/>
          <w:bCs/>
          <w:sz w:val="26"/>
          <w:lang w:val="en-US"/>
        </w:rPr>
        <w:t>(Insertion/</w:t>
      </w:r>
      <w:r w:rsidR="00690677" w:rsidRPr="006E42D0">
        <w:rPr>
          <w:rFonts w:asciiTheme="majorBidi" w:hAnsiTheme="majorBidi" w:cstheme="majorBidi"/>
          <w:b/>
          <w:bCs/>
          <w:sz w:val="26"/>
          <w:lang w:val="en-US"/>
        </w:rPr>
        <w:t>Deletion</w:t>
      </w:r>
      <w:r w:rsidR="00253978" w:rsidRPr="006E42D0">
        <w:rPr>
          <w:rFonts w:asciiTheme="majorBidi" w:hAnsiTheme="majorBidi" w:cstheme="majorBidi"/>
          <w:b/>
          <w:bCs/>
          <w:sz w:val="26"/>
          <w:lang w:val="en-US"/>
        </w:rPr>
        <w:t>)</w:t>
      </w:r>
      <w:r w:rsidRPr="006E42D0">
        <w:rPr>
          <w:rFonts w:asciiTheme="majorBidi" w:hAnsiTheme="majorBidi" w:cstheme="majorBidi"/>
          <w:b/>
          <w:bCs/>
          <w:sz w:val="26"/>
          <w:lang w:val="en-US"/>
        </w:rPr>
        <w:t xml:space="preserve"> in</w:t>
      </w:r>
      <w:r w:rsidR="00C412FA" w:rsidRPr="006E42D0">
        <w:rPr>
          <w:rFonts w:asciiTheme="majorBidi" w:hAnsiTheme="majorBidi" w:cstheme="majorBidi"/>
          <w:b/>
          <w:bCs/>
          <w:sz w:val="26"/>
          <w:lang w:val="en-US"/>
        </w:rPr>
        <w:t xml:space="preserve"> Patients with</w:t>
      </w:r>
      <w:r w:rsidRPr="006E42D0">
        <w:rPr>
          <w:rFonts w:asciiTheme="majorBidi" w:hAnsiTheme="majorBidi" w:cstheme="majorBidi"/>
          <w:b/>
          <w:bCs/>
          <w:sz w:val="26"/>
          <w:lang w:val="en-US"/>
        </w:rPr>
        <w:t xml:space="preserve"> Chronic Obstructive Pulmonary Disease and Hypertension Among the Indian Population</w:t>
      </w:r>
    </w:p>
    <w:p w14:paraId="2CB0443D" w14:textId="2D991C20" w:rsidR="009238FF" w:rsidRPr="006E42D0" w:rsidRDefault="008F44CA" w:rsidP="006E42D0">
      <w:pPr>
        <w:spacing w:line="276" w:lineRule="auto"/>
        <w:rPr>
          <w:rFonts w:asciiTheme="majorBidi" w:hAnsiTheme="majorBidi" w:cstheme="majorBidi"/>
          <w:i/>
          <w:shd w:val="clear" w:color="auto" w:fill="FFFFFF"/>
          <w:vertAlign w:val="superscript"/>
          <w:lang w:val="en-US"/>
        </w:rPr>
      </w:pPr>
      <w:r w:rsidRPr="006E42D0">
        <w:rPr>
          <w:rFonts w:asciiTheme="majorBidi" w:hAnsiTheme="majorBidi" w:cstheme="majorBidi"/>
          <w:i/>
          <w:shd w:val="clear" w:color="auto" w:fill="FFFFFF"/>
          <w:lang w:val="en-US"/>
        </w:rPr>
        <w:t>Thuraya Abdulsalam A.A.Al-Azazi</w:t>
      </w:r>
      <w:r w:rsidR="00AF2A96" w:rsidRPr="006E42D0">
        <w:rPr>
          <w:rFonts w:asciiTheme="majorBidi" w:hAnsiTheme="majorBidi" w:cstheme="majorBidi"/>
          <w:i/>
          <w:shd w:val="clear" w:color="auto" w:fill="FFFFFF"/>
          <w:vertAlign w:val="superscript"/>
          <w:lang w:val="en-US"/>
        </w:rPr>
        <w:t>1</w:t>
      </w:r>
      <w:r w:rsidR="00160CCB" w:rsidRPr="006E42D0">
        <w:rPr>
          <w:rFonts w:asciiTheme="majorBidi" w:hAnsiTheme="majorBidi" w:cstheme="majorBidi"/>
          <w:i/>
          <w:shd w:val="clear" w:color="auto" w:fill="FFFFFF"/>
          <w:lang w:val="en-US"/>
        </w:rPr>
        <w:t>, B</w:t>
      </w:r>
      <w:r w:rsidR="00686E96" w:rsidRPr="006E42D0">
        <w:rPr>
          <w:rFonts w:asciiTheme="majorBidi" w:hAnsiTheme="majorBidi" w:cstheme="majorBidi"/>
          <w:i/>
          <w:shd w:val="clear" w:color="auto" w:fill="FFFFFF"/>
          <w:lang w:val="en-US"/>
        </w:rPr>
        <w:t>h</w:t>
      </w:r>
      <w:r w:rsidR="00160CCB" w:rsidRPr="006E42D0">
        <w:rPr>
          <w:rFonts w:asciiTheme="majorBidi" w:hAnsiTheme="majorBidi" w:cstheme="majorBidi"/>
          <w:i/>
          <w:shd w:val="clear" w:color="auto" w:fill="FFFFFF"/>
          <w:lang w:val="en-US"/>
        </w:rPr>
        <w:t>uvnesh Kumar</w:t>
      </w:r>
      <w:r w:rsidR="00AF2A96" w:rsidRPr="006E42D0">
        <w:rPr>
          <w:rFonts w:asciiTheme="majorBidi" w:hAnsiTheme="majorBidi" w:cstheme="majorBidi"/>
          <w:i/>
          <w:shd w:val="clear" w:color="auto" w:fill="FFFFFF"/>
          <w:vertAlign w:val="superscript"/>
          <w:lang w:val="en-US"/>
        </w:rPr>
        <w:t>2</w:t>
      </w:r>
      <w:r w:rsidR="00217C13" w:rsidRPr="006E42D0">
        <w:rPr>
          <w:rFonts w:asciiTheme="majorBidi" w:hAnsiTheme="majorBidi" w:cstheme="majorBidi"/>
          <w:i/>
          <w:shd w:val="clear" w:color="auto" w:fill="FFFFFF"/>
          <w:lang w:val="en-US"/>
        </w:rPr>
        <w:t>, Mohit Kumar</w:t>
      </w:r>
      <w:r w:rsidR="00AF2A96" w:rsidRPr="006E42D0">
        <w:rPr>
          <w:rFonts w:asciiTheme="majorBidi" w:hAnsiTheme="majorBidi" w:cstheme="majorBidi"/>
          <w:i/>
          <w:shd w:val="clear" w:color="auto" w:fill="FFFFFF"/>
          <w:vertAlign w:val="superscript"/>
          <w:lang w:val="en-US"/>
        </w:rPr>
        <w:t>3</w:t>
      </w:r>
      <w:r w:rsidR="003C0F97" w:rsidRPr="006E42D0">
        <w:rPr>
          <w:rFonts w:asciiTheme="majorBidi" w:hAnsiTheme="majorBidi" w:cstheme="majorBidi"/>
          <w:i/>
          <w:shd w:val="clear" w:color="auto" w:fill="FFFFFF"/>
          <w:lang w:val="en-US"/>
        </w:rPr>
        <w:t>,</w:t>
      </w:r>
      <w:r w:rsidR="00313056" w:rsidRPr="006E42D0">
        <w:rPr>
          <w:rFonts w:asciiTheme="majorBidi" w:hAnsiTheme="majorBidi" w:cstheme="majorBidi"/>
          <w:i/>
          <w:shd w:val="clear" w:color="auto" w:fill="FFFFFF"/>
          <w:lang w:val="en-US"/>
        </w:rPr>
        <w:t>Rajesh Kumar Thakur</w:t>
      </w:r>
      <w:r w:rsidR="00AF2A96" w:rsidRPr="006E42D0">
        <w:rPr>
          <w:rFonts w:asciiTheme="majorBidi" w:hAnsiTheme="majorBidi" w:cstheme="majorBidi"/>
          <w:i/>
          <w:shd w:val="clear" w:color="auto" w:fill="FFFFFF"/>
          <w:vertAlign w:val="superscript"/>
          <w:lang w:val="en-US"/>
        </w:rPr>
        <w:t>4</w:t>
      </w:r>
      <w:r w:rsidR="003C0F97" w:rsidRPr="006E42D0">
        <w:rPr>
          <w:rFonts w:asciiTheme="majorBidi" w:hAnsiTheme="majorBidi" w:cstheme="majorBidi"/>
          <w:i/>
          <w:shd w:val="clear" w:color="auto" w:fill="FFFFFF"/>
          <w:lang w:val="en-US"/>
        </w:rPr>
        <w:t>, Bhati Sharma</w:t>
      </w:r>
      <w:r w:rsidR="00AF2A96" w:rsidRPr="006E42D0">
        <w:rPr>
          <w:rFonts w:asciiTheme="majorBidi" w:hAnsiTheme="majorBidi" w:cstheme="majorBidi"/>
          <w:i/>
          <w:shd w:val="clear" w:color="auto" w:fill="FFFFFF"/>
          <w:vertAlign w:val="superscript"/>
          <w:lang w:val="en-US"/>
        </w:rPr>
        <w:t>5</w:t>
      </w:r>
      <w:r w:rsidR="003C0F97" w:rsidRPr="006E42D0">
        <w:rPr>
          <w:rFonts w:asciiTheme="majorBidi" w:hAnsiTheme="majorBidi" w:cstheme="majorBidi"/>
          <w:i/>
          <w:shd w:val="clear" w:color="auto" w:fill="FFFFFF"/>
          <w:lang w:val="en-US"/>
        </w:rPr>
        <w:t xml:space="preserve"> , Man</w:t>
      </w:r>
      <w:r w:rsidR="00AF2A96" w:rsidRPr="006E42D0">
        <w:rPr>
          <w:rFonts w:asciiTheme="majorBidi" w:hAnsiTheme="majorBidi" w:cstheme="majorBidi"/>
          <w:i/>
          <w:shd w:val="clear" w:color="auto" w:fill="FFFFFF"/>
          <w:lang w:val="en-US"/>
        </w:rPr>
        <w:t>o</w:t>
      </w:r>
      <w:r w:rsidR="003C0F97" w:rsidRPr="006E42D0">
        <w:rPr>
          <w:rFonts w:asciiTheme="majorBidi" w:hAnsiTheme="majorBidi" w:cstheme="majorBidi"/>
          <w:i/>
          <w:shd w:val="clear" w:color="auto" w:fill="FFFFFF"/>
          <w:lang w:val="en-US"/>
        </w:rPr>
        <w:t>j Kuma</w:t>
      </w:r>
      <w:r w:rsidR="00303540" w:rsidRPr="006E42D0">
        <w:rPr>
          <w:rFonts w:asciiTheme="majorBidi" w:hAnsiTheme="majorBidi" w:cstheme="majorBidi"/>
          <w:i/>
          <w:shd w:val="clear" w:color="auto" w:fill="FFFFFF"/>
          <w:lang w:val="en-US"/>
        </w:rPr>
        <w:t>r</w:t>
      </w:r>
      <w:r w:rsidR="003C0F97" w:rsidRPr="006E42D0">
        <w:rPr>
          <w:rFonts w:asciiTheme="majorBidi" w:hAnsiTheme="majorBidi" w:cstheme="majorBidi"/>
          <w:i/>
          <w:shd w:val="clear" w:color="auto" w:fill="FFFFFF"/>
          <w:lang w:val="en-US"/>
        </w:rPr>
        <w:t xml:space="preserve"> Nandkeoliar</w:t>
      </w:r>
      <w:r w:rsidR="00AF2A96" w:rsidRPr="006E42D0">
        <w:rPr>
          <w:rFonts w:asciiTheme="majorBidi" w:hAnsiTheme="majorBidi" w:cstheme="majorBidi"/>
          <w:i/>
          <w:shd w:val="clear" w:color="auto" w:fill="FFFFFF"/>
          <w:vertAlign w:val="superscript"/>
          <w:lang w:val="en-US"/>
        </w:rPr>
        <w:t>6</w:t>
      </w:r>
    </w:p>
    <w:p w14:paraId="4C085AE9" w14:textId="010C40B5" w:rsidR="00AF2A96" w:rsidRPr="003314B7" w:rsidRDefault="00EC1ED5" w:rsidP="00A3639A">
      <w:pPr>
        <w:spacing w:line="360" w:lineRule="auto"/>
        <w:rPr>
          <w:rFonts w:asciiTheme="majorBidi" w:hAnsiTheme="majorBidi" w:cstheme="majorBidi"/>
          <w:lang w:val="en-US"/>
        </w:rPr>
      </w:pPr>
      <w:r w:rsidRPr="003314B7">
        <w:rPr>
          <w:rFonts w:asciiTheme="majorBidi" w:hAnsiTheme="majorBidi" w:cstheme="majorBidi"/>
          <w:shd w:val="clear" w:color="auto" w:fill="FFFFFF"/>
          <w:vertAlign w:val="superscript"/>
          <w:lang w:val="en-US"/>
        </w:rPr>
        <w:t xml:space="preserve">1 </w:t>
      </w:r>
      <w:r w:rsidRPr="003314B7">
        <w:rPr>
          <w:rFonts w:asciiTheme="majorBidi" w:hAnsiTheme="majorBidi" w:cstheme="majorBidi"/>
          <w:shd w:val="clear" w:color="auto" w:fill="FFFFFF"/>
          <w:lang w:val="en-US"/>
        </w:rPr>
        <w:t>Ph.D</w:t>
      </w:r>
      <w:r w:rsidR="0064079E" w:rsidRPr="003314B7">
        <w:rPr>
          <w:rFonts w:asciiTheme="majorBidi" w:hAnsiTheme="majorBidi" w:cstheme="majorBidi"/>
          <w:shd w:val="clear" w:color="auto" w:fill="FFFFFF"/>
          <w:lang w:val="en-US"/>
        </w:rPr>
        <w:t xml:space="preserve">. </w:t>
      </w:r>
      <w:r w:rsidR="0064079E" w:rsidRPr="003314B7">
        <w:rPr>
          <w:rFonts w:asciiTheme="majorBidi" w:hAnsiTheme="majorBidi" w:cstheme="majorBidi"/>
          <w:lang w:val="en-US"/>
        </w:rPr>
        <w:t>Scholar</w:t>
      </w:r>
      <w:r w:rsidRPr="003314B7">
        <w:rPr>
          <w:rFonts w:asciiTheme="majorBidi" w:hAnsiTheme="majorBidi" w:cstheme="majorBidi"/>
          <w:lang w:val="en-US"/>
        </w:rPr>
        <w:t>,</w:t>
      </w:r>
      <w:r w:rsidR="00346BF5" w:rsidRPr="003314B7">
        <w:rPr>
          <w:rFonts w:asciiTheme="majorBidi" w:hAnsiTheme="majorBidi" w:cstheme="majorBidi"/>
          <w:lang w:val="en-US"/>
        </w:rPr>
        <w:t xml:space="preserve"> </w:t>
      </w:r>
      <w:r w:rsidR="00947FD5" w:rsidRPr="003314B7">
        <w:rPr>
          <w:rFonts w:asciiTheme="majorBidi" w:hAnsiTheme="majorBidi" w:cstheme="majorBidi"/>
          <w:shd w:val="clear" w:color="auto" w:fill="FFFFFF"/>
          <w:vertAlign w:val="superscript"/>
          <w:lang w:val="en-US"/>
        </w:rPr>
        <w:t>3</w:t>
      </w:r>
      <w:r w:rsidR="00346BF5" w:rsidRPr="003314B7">
        <w:rPr>
          <w:rFonts w:asciiTheme="majorBidi" w:hAnsiTheme="majorBidi" w:cstheme="majorBidi"/>
          <w:lang w:val="en-US"/>
        </w:rPr>
        <w:t>Senior Research Officer,</w:t>
      </w:r>
      <w:r w:rsidR="00511FE1" w:rsidRPr="003314B7">
        <w:rPr>
          <w:rFonts w:asciiTheme="majorBidi" w:hAnsiTheme="majorBidi" w:cstheme="majorBidi"/>
          <w:lang w:val="en-US"/>
        </w:rPr>
        <w:t xml:space="preserve"> </w:t>
      </w:r>
      <w:r w:rsidR="000241CE" w:rsidRPr="003314B7">
        <w:rPr>
          <w:rFonts w:asciiTheme="majorBidi" w:hAnsiTheme="majorBidi" w:cstheme="majorBidi"/>
          <w:vertAlign w:val="superscript"/>
          <w:lang w:val="en-US"/>
        </w:rPr>
        <w:t>5</w:t>
      </w:r>
      <w:r w:rsidR="000241CE" w:rsidRPr="003314B7">
        <w:rPr>
          <w:rFonts w:asciiTheme="majorBidi" w:hAnsiTheme="majorBidi" w:cstheme="majorBidi"/>
          <w:lang w:val="en-US"/>
        </w:rPr>
        <w:t xml:space="preserve">Project Assistant, </w:t>
      </w:r>
      <w:r w:rsidR="00F34555" w:rsidRPr="003314B7">
        <w:rPr>
          <w:rFonts w:asciiTheme="majorBidi" w:hAnsiTheme="majorBidi" w:cstheme="majorBidi"/>
          <w:vertAlign w:val="superscript"/>
          <w:lang w:val="en-US"/>
        </w:rPr>
        <w:t>6</w:t>
      </w:r>
      <w:r w:rsidR="00F34555" w:rsidRPr="003314B7">
        <w:rPr>
          <w:rFonts w:asciiTheme="majorBidi" w:hAnsiTheme="majorBidi" w:cstheme="majorBidi"/>
          <w:lang w:val="en-US"/>
        </w:rPr>
        <w:t xml:space="preserve">Professor, Department of </w:t>
      </w:r>
      <w:r w:rsidR="00385E27" w:rsidRPr="003314B7">
        <w:rPr>
          <w:rFonts w:asciiTheme="majorBidi" w:hAnsiTheme="majorBidi" w:cstheme="majorBidi"/>
          <w:lang w:val="en-US"/>
        </w:rPr>
        <w:t>Biochemistry, School of Medical Science and Research, Sharda University.</w:t>
      </w:r>
    </w:p>
    <w:p w14:paraId="196B4F2A" w14:textId="1988EABF" w:rsidR="00472EB9" w:rsidRDefault="00544E9F" w:rsidP="00472EB9">
      <w:pPr>
        <w:spacing w:line="360" w:lineRule="auto"/>
        <w:rPr>
          <w:rFonts w:asciiTheme="majorBidi" w:hAnsiTheme="majorBidi" w:cstheme="majorBidi"/>
          <w:color w:val="000000"/>
          <w:shd w:val="clear" w:color="auto" w:fill="FFFFFF"/>
          <w:lang w:val="en-US"/>
        </w:rPr>
      </w:pPr>
      <w:r w:rsidRPr="003314B7">
        <w:rPr>
          <w:rFonts w:asciiTheme="majorBidi" w:hAnsiTheme="majorBidi" w:cstheme="majorBidi"/>
          <w:color w:val="000000"/>
          <w:shd w:val="clear" w:color="auto" w:fill="FFFFFF"/>
          <w:vertAlign w:val="superscript"/>
          <w:lang w:val="en-US"/>
        </w:rPr>
        <w:t>2</w:t>
      </w:r>
      <w:r w:rsidRPr="003314B7">
        <w:rPr>
          <w:rFonts w:asciiTheme="majorBidi" w:hAnsiTheme="majorBidi" w:cstheme="majorBidi"/>
          <w:color w:val="000000"/>
          <w:shd w:val="clear" w:color="auto" w:fill="FFFFFF"/>
          <w:lang w:val="en-US"/>
        </w:rPr>
        <w:t>Distinguished Professor</w:t>
      </w:r>
      <w:r w:rsidR="00551971" w:rsidRPr="003314B7">
        <w:rPr>
          <w:rFonts w:asciiTheme="majorBidi" w:hAnsiTheme="majorBidi" w:cstheme="majorBidi"/>
          <w:color w:val="000000"/>
          <w:shd w:val="clear" w:color="auto" w:fill="FFFFFF"/>
          <w:lang w:val="en-US"/>
        </w:rPr>
        <w:t xml:space="preserve"> &amp; Dean Research, Sharda University</w:t>
      </w:r>
      <w:r w:rsidR="005168B7" w:rsidRPr="003314B7">
        <w:rPr>
          <w:rFonts w:asciiTheme="majorBidi" w:hAnsiTheme="majorBidi" w:cstheme="majorBidi"/>
          <w:color w:val="000000"/>
          <w:shd w:val="clear" w:color="auto" w:fill="FFFFFF"/>
          <w:lang w:val="en-US"/>
        </w:rPr>
        <w:t xml:space="preserve"> </w:t>
      </w:r>
    </w:p>
    <w:p w14:paraId="5518F248" w14:textId="23C7D2D6" w:rsidR="00313056" w:rsidRPr="003314B7" w:rsidRDefault="00313056" w:rsidP="00472EB9">
      <w:pPr>
        <w:spacing w:line="360" w:lineRule="auto"/>
        <w:rPr>
          <w:rFonts w:asciiTheme="majorBidi" w:hAnsiTheme="majorBidi" w:cstheme="majorBidi"/>
          <w:color w:val="000000"/>
          <w:shd w:val="clear" w:color="auto" w:fill="FFFFFF"/>
          <w:lang w:val="en-US"/>
        </w:rPr>
      </w:pPr>
      <w:r>
        <w:rPr>
          <w:rFonts w:asciiTheme="majorBidi" w:hAnsiTheme="majorBidi" w:cstheme="majorBidi"/>
          <w:color w:val="000000"/>
          <w:shd w:val="clear" w:color="auto" w:fill="FFFFFF"/>
          <w:vertAlign w:val="superscript"/>
          <w:lang w:val="en-US"/>
        </w:rPr>
        <w:t>4</w:t>
      </w:r>
      <w:r w:rsidRPr="00313056">
        <w:rPr>
          <w:rFonts w:asciiTheme="majorBidi" w:hAnsiTheme="majorBidi" w:cstheme="majorBidi"/>
          <w:color w:val="000000"/>
          <w:shd w:val="clear" w:color="auto" w:fill="FFFFFF"/>
          <w:lang w:val="en-US"/>
        </w:rPr>
        <w:t>Associate Professor Biochemistry, Uttar Pradesh University of Medical Sciences, Saifai, Etawah, UP</w:t>
      </w:r>
      <w:r w:rsidR="007621C8">
        <w:rPr>
          <w:rFonts w:asciiTheme="majorBidi" w:hAnsiTheme="majorBidi" w:cstheme="majorBidi"/>
          <w:color w:val="000000"/>
          <w:shd w:val="clear" w:color="auto" w:fill="FFFFFF"/>
          <w:lang w:val="en-US"/>
        </w:rPr>
        <w:t>.</w:t>
      </w:r>
    </w:p>
    <w:p w14:paraId="0C29ED64" w14:textId="1A8055E9" w:rsidR="00790DE5" w:rsidRPr="00891F8F" w:rsidRDefault="00472EB9" w:rsidP="00790DE5">
      <w:pPr>
        <w:spacing w:line="240" w:lineRule="auto"/>
        <w:rPr>
          <w:rFonts w:ascii="Times New Roman" w:hAnsi="Times New Roman" w:cs="Times New Roman"/>
          <w:color w:val="000000"/>
          <w:shd w:val="clear" w:color="auto" w:fill="FFFFFF"/>
          <w:lang w:val="en-US"/>
        </w:rPr>
      </w:pPr>
      <w:r w:rsidRPr="003314B7">
        <w:rPr>
          <w:rFonts w:asciiTheme="majorBidi" w:hAnsiTheme="majorBidi" w:cstheme="majorBidi"/>
          <w:color w:val="000000"/>
          <w:shd w:val="clear" w:color="auto" w:fill="FFFFFF"/>
          <w:lang w:val="en-US"/>
        </w:rPr>
        <w:t xml:space="preserve">Corresponding </w:t>
      </w:r>
      <w:r w:rsidR="00E45A3B" w:rsidRPr="003314B7">
        <w:rPr>
          <w:rFonts w:asciiTheme="majorBidi" w:hAnsiTheme="majorBidi" w:cstheme="majorBidi"/>
          <w:color w:val="000000"/>
          <w:shd w:val="clear" w:color="auto" w:fill="FFFFFF"/>
          <w:lang w:val="en-US"/>
        </w:rPr>
        <w:t>Author</w:t>
      </w:r>
      <w:r w:rsidR="007F51D0" w:rsidRPr="003314B7">
        <w:rPr>
          <w:rFonts w:asciiTheme="majorBidi" w:hAnsiTheme="majorBidi" w:cstheme="majorBidi"/>
          <w:color w:val="000000"/>
          <w:shd w:val="clear" w:color="auto" w:fill="FFFFFF"/>
          <w:lang w:val="en-US"/>
        </w:rPr>
        <w:t xml:space="preserve">: </w:t>
      </w:r>
      <w:r w:rsidR="004D77FE">
        <w:rPr>
          <w:rFonts w:ascii="Times New Roman" w:hAnsi="Times New Roman" w:cs="Times New Roman"/>
          <w:color w:val="000000"/>
          <w:shd w:val="clear" w:color="auto" w:fill="FFFFFF"/>
          <w:lang w:val="en-US"/>
        </w:rPr>
        <w:t xml:space="preserve"> </w:t>
      </w:r>
      <w:r w:rsidR="00790DE5" w:rsidRPr="00891F8F">
        <w:rPr>
          <w:rFonts w:ascii="Times New Roman" w:hAnsi="Times New Roman" w:cs="Times New Roman"/>
        </w:rPr>
        <w:t>bhuvnesh.kumar@sharda.ac.in</w:t>
      </w:r>
    </w:p>
    <w:p w14:paraId="090FEF00" w14:textId="77777777" w:rsidR="004D77FE" w:rsidRDefault="004D77FE" w:rsidP="00A3639A">
      <w:pPr>
        <w:spacing w:line="360" w:lineRule="auto"/>
        <w:rPr>
          <w:rFonts w:asciiTheme="majorBidi" w:hAnsiTheme="majorBidi" w:cstheme="majorBidi"/>
          <w:b/>
          <w:bCs/>
          <w:lang w:val="en-US"/>
        </w:rPr>
      </w:pPr>
    </w:p>
    <w:p w14:paraId="73FEAED6" w14:textId="486C97FF" w:rsidR="001C40FD" w:rsidRPr="003314B7" w:rsidRDefault="00891F8F" w:rsidP="00A3639A">
      <w:pPr>
        <w:spacing w:line="360" w:lineRule="auto"/>
        <w:rPr>
          <w:rFonts w:asciiTheme="majorBidi" w:hAnsiTheme="majorBidi" w:cstheme="majorBidi"/>
          <w:b/>
          <w:bCs/>
          <w:lang w:val="en-US"/>
        </w:rPr>
      </w:pPr>
      <w:r w:rsidRPr="003314B7">
        <w:rPr>
          <w:rFonts w:asciiTheme="majorBidi" w:hAnsiTheme="majorBidi" w:cstheme="majorBidi"/>
          <w:b/>
          <w:bCs/>
          <w:lang w:val="en-US"/>
        </w:rPr>
        <w:t xml:space="preserve">ABSTRACT </w:t>
      </w:r>
    </w:p>
    <w:p w14:paraId="20A424FC" w14:textId="6663C15D" w:rsidR="00891F8F" w:rsidRPr="006E42D0" w:rsidRDefault="00891F8F" w:rsidP="00891F8F">
      <w:pPr>
        <w:spacing w:before="120" w:after="120"/>
        <w:jc w:val="both"/>
        <w:rPr>
          <w:rFonts w:ascii="Times New Roman" w:eastAsia="Times New Roman" w:hAnsi="Times New Roman" w:cs="Times New Roman"/>
          <w:sz w:val="22"/>
          <w:lang w:eastAsia="en-IN"/>
        </w:rPr>
      </w:pPr>
      <w:r w:rsidRPr="006E42D0">
        <w:rPr>
          <w:rFonts w:ascii="Times New Roman" w:hAnsi="Times New Roman" w:cs="Times New Roman"/>
          <w:sz w:val="22"/>
          <w:shd w:val="clear" w:color="auto" w:fill="FFFFFF"/>
          <w:lang w:val="en-US"/>
        </w:rPr>
        <w:t>Chronic Obstructive Pulmonary Disease (COPD) is regarded as one of the major global health issues. It is a complex, heterogeneous condition that results from both genetic and environmental factors. The mechanisms involved in its pathophysiology are still not fully understood.</w:t>
      </w:r>
      <w:r w:rsidR="006E42D0" w:rsidRPr="006E42D0">
        <w:rPr>
          <w:rFonts w:ascii="Times New Roman" w:hAnsi="Times New Roman" w:cs="Times New Roman"/>
          <w:sz w:val="22"/>
          <w:shd w:val="clear" w:color="auto" w:fill="FFFFFF"/>
          <w:lang w:val="en-US"/>
        </w:rPr>
        <w:t xml:space="preserve"> The </w:t>
      </w:r>
      <w:r w:rsidR="00243B05">
        <w:rPr>
          <w:rFonts w:ascii="Times New Roman" w:hAnsi="Times New Roman" w:cs="Times New Roman"/>
          <w:sz w:val="22"/>
          <w:shd w:val="clear" w:color="auto" w:fill="FFFFFF"/>
          <w:lang w:val="en-US"/>
        </w:rPr>
        <w:t xml:space="preserve"> present </w:t>
      </w:r>
      <w:r w:rsidR="006E42D0" w:rsidRPr="006E42D0">
        <w:rPr>
          <w:rFonts w:ascii="Times New Roman" w:hAnsi="Times New Roman" w:cs="Times New Roman"/>
          <w:sz w:val="22"/>
          <w:shd w:val="clear" w:color="auto" w:fill="FFFFFF"/>
          <w:lang w:val="en-US"/>
        </w:rPr>
        <w:t>study aims to investigate</w:t>
      </w:r>
      <w:r w:rsidRPr="006E42D0">
        <w:rPr>
          <w:rFonts w:ascii="Times New Roman" w:hAnsi="Times New Roman" w:cs="Times New Roman"/>
          <w:bCs/>
          <w:sz w:val="22"/>
          <w:lang w:val="en-US"/>
        </w:rPr>
        <w:t xml:space="preserve"> Angiotensin-Converting Enzyme Gene Polymorphism (Insertion/Deletion) in patients with Chronic Obstructive Pulmonary Disease and Hypertension Among Indian Population.</w:t>
      </w:r>
      <w:r w:rsidR="006E42D0" w:rsidRPr="006E42D0">
        <w:rPr>
          <w:rFonts w:ascii="Times New Roman" w:hAnsi="Times New Roman" w:cs="Times New Roman"/>
          <w:bCs/>
          <w:sz w:val="22"/>
          <w:lang w:val="en-US"/>
        </w:rPr>
        <w:t xml:space="preserve"> </w:t>
      </w:r>
      <w:r w:rsidRPr="006E42D0">
        <w:rPr>
          <w:rFonts w:ascii="Times New Roman" w:hAnsi="Times New Roman" w:cs="Times New Roman"/>
          <w:sz w:val="22"/>
          <w:shd w:val="clear" w:color="auto" w:fill="FFFFFF"/>
          <w:lang w:val="en-US"/>
        </w:rPr>
        <w:t>The current study included 300 patients, divided into three groups: 100 with COPD, 100 with COPD and hypertension, and 100 with hypertension alone. Additionally, a control group of 100 healthy individuals was included. The ACE I/D gene was typed using Mutation-Specific Polymerase Chain Reaction (MSP). PCR products were analyzed by gel electrophoresis on 1% agarose gel, and the results were visualized using a UV Gel Doc</w:t>
      </w:r>
      <w:r w:rsidR="006E42D0" w:rsidRPr="006E42D0">
        <w:rPr>
          <w:rFonts w:ascii="Times New Roman" w:hAnsi="Times New Roman" w:cs="Times New Roman"/>
          <w:sz w:val="22"/>
          <w:shd w:val="clear" w:color="auto" w:fill="FFFFFF"/>
          <w:lang w:val="en-US"/>
        </w:rPr>
        <w:t>. The results</w:t>
      </w:r>
      <w:r w:rsidRPr="006E42D0">
        <w:rPr>
          <w:rFonts w:ascii="Times New Roman" w:hAnsi="Times New Roman" w:cs="Times New Roman"/>
          <w:sz w:val="22"/>
          <w:shd w:val="clear" w:color="auto" w:fill="FFFFFF"/>
          <w:lang w:val="en-US"/>
        </w:rPr>
        <w:t xml:space="preserve"> revealed that a notable correlation existed between the D allele and COPD (odds ratio [OR] = 4.987, p ≤ 0.001), for the patients with a combination of COPD and HTN (odds ratio [OR] = 2.691, p  ≤ 0.001), and for hypertensive patients only (OR = 2.136, p-value ≤0.01). Nonetheless, non significant association recorded between the homozygous II, heterozygous ID, and homozygous DD genotypes and the incidence of COPD or HTN (p ≤ 0.05).</w:t>
      </w:r>
      <w:r w:rsidR="006E42D0" w:rsidRPr="006E42D0">
        <w:rPr>
          <w:rFonts w:ascii="Times New Roman" w:hAnsi="Times New Roman" w:cs="Times New Roman"/>
          <w:sz w:val="22"/>
          <w:shd w:val="clear" w:color="auto" w:fill="FFFFFF"/>
          <w:lang w:val="en-US"/>
        </w:rPr>
        <w:t xml:space="preserve"> Based on the findings, </w:t>
      </w:r>
      <w:r w:rsidR="006E42D0" w:rsidRPr="006E42D0">
        <w:rPr>
          <w:rFonts w:ascii="Times New Roman" w:hAnsi="Times New Roman" w:cs="Times New Roman"/>
          <w:sz w:val="22"/>
          <w:lang w:val="en-US"/>
        </w:rPr>
        <w:t xml:space="preserve">the study concludes that </w:t>
      </w:r>
      <w:r w:rsidRPr="006E42D0">
        <w:rPr>
          <w:rFonts w:ascii="Times New Roman" w:hAnsi="Times New Roman" w:cs="Times New Roman"/>
          <w:sz w:val="22"/>
          <w:lang w:val="en-US"/>
        </w:rPr>
        <w:t xml:space="preserve">a significant correlation </w:t>
      </w:r>
      <w:r w:rsidR="00243B05">
        <w:rPr>
          <w:rFonts w:ascii="Times New Roman" w:hAnsi="Times New Roman" w:cs="Times New Roman"/>
          <w:sz w:val="22"/>
          <w:lang w:val="en-US"/>
        </w:rPr>
        <w:t>existed</w:t>
      </w:r>
      <w:r w:rsidR="006E42D0" w:rsidRPr="006E42D0">
        <w:rPr>
          <w:rFonts w:ascii="Times New Roman" w:hAnsi="Times New Roman" w:cs="Times New Roman"/>
          <w:sz w:val="22"/>
          <w:lang w:val="en-US"/>
        </w:rPr>
        <w:t xml:space="preserve"> </w:t>
      </w:r>
      <w:r w:rsidRPr="006E42D0">
        <w:rPr>
          <w:rFonts w:ascii="Times New Roman" w:hAnsi="Times New Roman" w:cs="Times New Roman"/>
          <w:sz w:val="22"/>
          <w:lang w:val="en-US"/>
        </w:rPr>
        <w:t xml:space="preserve">between the D allele in the ACE gene </w:t>
      </w:r>
      <w:r w:rsidR="00243B05">
        <w:rPr>
          <w:rFonts w:ascii="Times New Roman" w:hAnsi="Times New Roman" w:cs="Times New Roman"/>
          <w:sz w:val="22"/>
          <w:lang w:val="en-US"/>
        </w:rPr>
        <w:t>with</w:t>
      </w:r>
      <w:r w:rsidRPr="006E42D0">
        <w:rPr>
          <w:rFonts w:ascii="Times New Roman" w:hAnsi="Times New Roman" w:cs="Times New Roman"/>
          <w:sz w:val="22"/>
          <w:lang w:val="en-US"/>
        </w:rPr>
        <w:t xml:space="preserve"> an increased risk of developin</w:t>
      </w:r>
      <w:r w:rsidR="00243B05">
        <w:rPr>
          <w:rFonts w:ascii="Times New Roman" w:hAnsi="Times New Roman" w:cs="Times New Roman"/>
          <w:sz w:val="22"/>
          <w:lang w:val="en-US"/>
        </w:rPr>
        <w:t>g HTN and COPD in patients. The study suggested that</w:t>
      </w:r>
      <w:r w:rsidRPr="006E42D0">
        <w:rPr>
          <w:rFonts w:ascii="Times New Roman" w:hAnsi="Times New Roman" w:cs="Times New Roman"/>
          <w:sz w:val="22"/>
          <w:lang w:val="en-US"/>
        </w:rPr>
        <w:t xml:space="preserve"> this allele may be associated with a higher likelihood of occurrence of both COPD and HTN.</w:t>
      </w:r>
    </w:p>
    <w:p w14:paraId="69EC9840" w14:textId="7AF7A695" w:rsidR="001C40FD" w:rsidRPr="003314B7" w:rsidRDefault="00891F8F" w:rsidP="006D46B0">
      <w:pPr>
        <w:spacing w:line="276" w:lineRule="auto"/>
        <w:jc w:val="both"/>
        <w:rPr>
          <w:rFonts w:asciiTheme="majorBidi" w:hAnsiTheme="majorBidi" w:cstheme="majorBidi"/>
          <w:color w:val="1C1C1C"/>
          <w:shd w:val="clear" w:color="auto" w:fill="FFFFFF"/>
          <w:lang w:val="en-US"/>
        </w:rPr>
      </w:pPr>
      <w:r w:rsidRPr="006E42D0">
        <w:rPr>
          <w:rFonts w:asciiTheme="majorBidi" w:hAnsiTheme="majorBidi" w:cstheme="majorBidi"/>
          <w:b/>
          <w:bCs/>
          <w:color w:val="1C1C1C"/>
          <w:sz w:val="22"/>
          <w:shd w:val="clear" w:color="auto" w:fill="FFFFFF"/>
          <w:lang w:val="en-US"/>
        </w:rPr>
        <w:t>KEYWORDS:</w:t>
      </w:r>
      <w:r w:rsidRPr="006E42D0">
        <w:rPr>
          <w:rFonts w:asciiTheme="majorBidi" w:hAnsiTheme="majorBidi" w:cstheme="majorBidi"/>
          <w:color w:val="1C1C1C"/>
          <w:sz w:val="22"/>
          <w:shd w:val="clear" w:color="auto" w:fill="FFFFFF"/>
          <w:lang w:val="en-US"/>
        </w:rPr>
        <w:t xml:space="preserve"> </w:t>
      </w:r>
      <w:r w:rsidR="001C40FD" w:rsidRPr="006E42D0">
        <w:rPr>
          <w:rFonts w:asciiTheme="majorBidi" w:hAnsiTheme="majorBidi" w:cstheme="majorBidi"/>
          <w:color w:val="1C1C1C"/>
          <w:sz w:val="22"/>
          <w:shd w:val="clear" w:color="auto" w:fill="FFFFFF"/>
          <w:lang w:val="en-US"/>
        </w:rPr>
        <w:t>Chronic Obstructive Pulmonary Disease (COPD)</w:t>
      </w:r>
      <w:r w:rsidR="005D7BDA" w:rsidRPr="006E42D0">
        <w:rPr>
          <w:rFonts w:asciiTheme="majorBidi" w:hAnsiTheme="majorBidi" w:cstheme="majorBidi"/>
          <w:color w:val="1C1C1C"/>
          <w:sz w:val="22"/>
          <w:shd w:val="clear" w:color="auto" w:fill="FFFFFF"/>
          <w:lang w:val="en-US"/>
        </w:rPr>
        <w:t>;</w:t>
      </w:r>
      <w:r w:rsidR="001C40FD" w:rsidRPr="006E42D0">
        <w:rPr>
          <w:rFonts w:asciiTheme="majorBidi" w:hAnsiTheme="majorBidi" w:cstheme="majorBidi"/>
          <w:color w:val="1C1C1C"/>
          <w:sz w:val="22"/>
          <w:shd w:val="clear" w:color="auto" w:fill="FFFFFF"/>
          <w:lang w:val="en-US"/>
        </w:rPr>
        <w:t xml:space="preserve"> Hypertension (HTN)</w:t>
      </w:r>
      <w:r w:rsidR="00243B05">
        <w:rPr>
          <w:rFonts w:asciiTheme="majorBidi" w:hAnsiTheme="majorBidi" w:cstheme="majorBidi"/>
          <w:color w:val="1C1C1C"/>
          <w:sz w:val="22"/>
          <w:shd w:val="clear" w:color="auto" w:fill="FFFFFF"/>
          <w:lang w:val="en-US"/>
        </w:rPr>
        <w:t>;</w:t>
      </w:r>
      <w:r w:rsidR="001C40FD" w:rsidRPr="006E42D0">
        <w:rPr>
          <w:rFonts w:asciiTheme="majorBidi" w:hAnsiTheme="majorBidi" w:cstheme="majorBidi"/>
          <w:color w:val="1C1C1C"/>
          <w:sz w:val="22"/>
          <w:shd w:val="clear" w:color="auto" w:fill="FFFFFF"/>
          <w:lang w:val="en-US"/>
        </w:rPr>
        <w:t xml:space="preserve"> Angiotensin Converting Enzyme (ACE)</w:t>
      </w:r>
      <w:r w:rsidR="005D7BDA" w:rsidRPr="006E42D0">
        <w:rPr>
          <w:rFonts w:asciiTheme="majorBidi" w:hAnsiTheme="majorBidi" w:cstheme="majorBidi"/>
          <w:color w:val="1C1C1C"/>
          <w:sz w:val="22"/>
          <w:shd w:val="clear" w:color="auto" w:fill="FFFFFF"/>
          <w:lang w:val="en-US"/>
        </w:rPr>
        <w:t>;</w:t>
      </w:r>
      <w:r w:rsidR="001C40FD" w:rsidRPr="006E42D0">
        <w:rPr>
          <w:rFonts w:asciiTheme="majorBidi" w:hAnsiTheme="majorBidi" w:cstheme="majorBidi"/>
          <w:color w:val="1C1C1C"/>
          <w:sz w:val="22"/>
          <w:shd w:val="clear" w:color="auto" w:fill="FFFFFF"/>
          <w:lang w:val="en-US"/>
        </w:rPr>
        <w:t xml:space="preserve"> insertion/deletion (I/D) polymorphism</w:t>
      </w:r>
      <w:r w:rsidR="005D7BDA" w:rsidRPr="006E42D0">
        <w:rPr>
          <w:rFonts w:asciiTheme="majorBidi" w:hAnsiTheme="majorBidi" w:cstheme="majorBidi"/>
          <w:color w:val="1C1C1C"/>
          <w:sz w:val="22"/>
          <w:shd w:val="clear" w:color="auto" w:fill="FFFFFF"/>
          <w:lang w:val="en-US"/>
        </w:rPr>
        <w:t>;</w:t>
      </w:r>
      <w:r w:rsidR="00E1377C" w:rsidRPr="006E42D0">
        <w:rPr>
          <w:rFonts w:asciiTheme="majorBidi" w:hAnsiTheme="majorBidi" w:cstheme="majorBidi"/>
          <w:color w:val="1C1C1C"/>
          <w:sz w:val="22"/>
          <w:shd w:val="clear" w:color="auto" w:fill="FFFFFF"/>
          <w:lang w:val="en-US"/>
        </w:rPr>
        <w:t xml:space="preserve"> </w:t>
      </w:r>
      <w:r w:rsidR="00E1377C" w:rsidRPr="006E42D0">
        <w:rPr>
          <w:rFonts w:asciiTheme="majorBidi" w:hAnsiTheme="majorBidi" w:cstheme="majorBidi"/>
          <w:sz w:val="22"/>
          <w:lang w:val="en-US"/>
        </w:rPr>
        <w:t xml:space="preserve">Mutation-Specific Polymerase Chain Reaction (MSP) </w:t>
      </w:r>
      <w:r w:rsidR="001C40FD" w:rsidRPr="006E42D0">
        <w:rPr>
          <w:rFonts w:asciiTheme="majorBidi" w:hAnsiTheme="majorBidi" w:cstheme="majorBidi"/>
          <w:color w:val="1C1C1C"/>
          <w:sz w:val="22"/>
          <w:shd w:val="clear" w:color="auto" w:fill="FFFFFF"/>
          <w:lang w:val="en-US"/>
        </w:rPr>
        <w:t xml:space="preserve"> </w:t>
      </w:r>
    </w:p>
    <w:p w14:paraId="1321270B" w14:textId="77777777" w:rsidR="00891F8F" w:rsidRDefault="00891F8F" w:rsidP="006D46B0">
      <w:pPr>
        <w:spacing w:line="276" w:lineRule="auto"/>
        <w:jc w:val="both"/>
        <w:rPr>
          <w:rFonts w:asciiTheme="majorBidi" w:hAnsiTheme="majorBidi" w:cstheme="majorBidi"/>
          <w:b/>
          <w:bCs/>
          <w:color w:val="1C1C1C"/>
          <w:shd w:val="clear" w:color="auto" w:fill="FFFFFF"/>
          <w:lang w:val="en-US"/>
        </w:rPr>
      </w:pPr>
    </w:p>
    <w:p w14:paraId="1E207BF6" w14:textId="77777777" w:rsidR="006E42D0" w:rsidRDefault="006E42D0" w:rsidP="00A3639A">
      <w:pPr>
        <w:spacing w:line="360" w:lineRule="auto"/>
        <w:jc w:val="both"/>
        <w:rPr>
          <w:rFonts w:asciiTheme="majorBidi" w:hAnsiTheme="majorBidi" w:cstheme="majorBidi"/>
          <w:b/>
          <w:bCs/>
          <w:color w:val="1C1C1C"/>
          <w:shd w:val="clear" w:color="auto" w:fill="FFFFFF"/>
          <w:lang w:val="en-US"/>
        </w:rPr>
      </w:pPr>
    </w:p>
    <w:p w14:paraId="433C57D6" w14:textId="77777777" w:rsidR="006E42D0" w:rsidRDefault="006E42D0" w:rsidP="00A3639A">
      <w:pPr>
        <w:spacing w:line="360" w:lineRule="auto"/>
        <w:jc w:val="both"/>
        <w:rPr>
          <w:rFonts w:asciiTheme="majorBidi" w:hAnsiTheme="majorBidi" w:cstheme="majorBidi"/>
          <w:b/>
          <w:bCs/>
          <w:color w:val="1C1C1C"/>
          <w:shd w:val="clear" w:color="auto" w:fill="FFFFFF"/>
          <w:lang w:val="en-US"/>
        </w:rPr>
      </w:pPr>
    </w:p>
    <w:p w14:paraId="3499BF45" w14:textId="5F405CFE" w:rsidR="001C40FD" w:rsidRPr="003314B7" w:rsidRDefault="001C40FD" w:rsidP="00A3639A">
      <w:pPr>
        <w:spacing w:line="360" w:lineRule="auto"/>
        <w:jc w:val="both"/>
        <w:rPr>
          <w:rFonts w:asciiTheme="majorBidi" w:hAnsiTheme="majorBidi" w:cstheme="majorBidi"/>
          <w:b/>
          <w:bCs/>
          <w:lang w:val="en-US"/>
        </w:rPr>
      </w:pPr>
      <w:r w:rsidRPr="003314B7">
        <w:rPr>
          <w:rFonts w:asciiTheme="majorBidi" w:hAnsiTheme="majorBidi" w:cstheme="majorBidi"/>
          <w:b/>
          <w:bCs/>
          <w:color w:val="1C1C1C"/>
          <w:shd w:val="clear" w:color="auto" w:fill="FFFFFF"/>
          <w:lang w:val="en-US"/>
        </w:rPr>
        <w:lastRenderedPageBreak/>
        <w:t>Introduction:</w:t>
      </w:r>
      <w:r w:rsidRPr="003314B7">
        <w:rPr>
          <w:rFonts w:asciiTheme="majorBidi" w:hAnsiTheme="majorBidi" w:cstheme="majorBidi"/>
          <w:color w:val="1C1C1C"/>
          <w:shd w:val="clear" w:color="auto" w:fill="FFFFFF"/>
          <w:lang w:val="en-US"/>
        </w:rPr>
        <w:t xml:space="preserve"> </w:t>
      </w:r>
    </w:p>
    <w:p w14:paraId="094B82C0" w14:textId="5E86AB0C" w:rsidR="001C40FD" w:rsidRPr="003314B7" w:rsidRDefault="001C40FD" w:rsidP="00A3639A">
      <w:pPr>
        <w:spacing w:line="360" w:lineRule="auto"/>
        <w:jc w:val="both"/>
        <w:rPr>
          <w:rFonts w:asciiTheme="majorBidi" w:hAnsiTheme="majorBidi" w:cstheme="majorBidi"/>
          <w:color w:val="1F1F1F"/>
          <w:lang w:val="en-US"/>
        </w:rPr>
      </w:pPr>
      <w:r w:rsidRPr="003314B7">
        <w:rPr>
          <w:rFonts w:asciiTheme="majorBidi" w:hAnsiTheme="majorBidi" w:cstheme="majorBidi"/>
          <w:lang w:val="en-US"/>
        </w:rPr>
        <w:t>COPD is one of the global health crises that poses significant challenges. This debilitating respiratory condition is difficult to reverse. COPD presents symptoms such as breathlessness, chronic cough, and acute exacerbations linked to airway damage and emphysema.</w:t>
      </w:r>
      <w:r w:rsidR="00525B45">
        <w:rPr>
          <w:rFonts w:asciiTheme="majorBidi" w:hAnsiTheme="majorBidi" w:cstheme="majorBidi"/>
          <w:lang w:val="en-US"/>
        </w:rPr>
        <w:t xml:space="preserve"> </w:t>
      </w:r>
      <w:r w:rsidR="00525B45">
        <w:rPr>
          <w:rFonts w:asciiTheme="majorBidi" w:hAnsiTheme="majorBidi" w:cstheme="majorBidi"/>
          <w:color w:val="1F1F1F"/>
          <w:lang w:val="en-US"/>
        </w:rPr>
        <w:t xml:space="preserve">It </w:t>
      </w:r>
      <w:r w:rsidRPr="003314B7">
        <w:rPr>
          <w:rFonts w:asciiTheme="majorBidi" w:hAnsiTheme="majorBidi" w:cstheme="majorBidi"/>
          <w:color w:val="1F1F1F"/>
          <w:lang w:val="en-US"/>
        </w:rPr>
        <w:t>is a complex and diverse disease resulting from intricate interactions among various cellular and molecular pathways, influenced by genetic</w:t>
      </w:r>
      <w:r w:rsidR="009B54E9" w:rsidRPr="003314B7">
        <w:rPr>
          <w:rFonts w:asciiTheme="majorBidi" w:hAnsiTheme="majorBidi" w:cstheme="majorBidi"/>
          <w:color w:val="1F1F1F"/>
          <w:lang w:val="en-US"/>
        </w:rPr>
        <w:t xml:space="preserve"> in addition to </w:t>
      </w:r>
      <w:r w:rsidRPr="003314B7">
        <w:rPr>
          <w:rFonts w:asciiTheme="majorBidi" w:hAnsiTheme="majorBidi" w:cstheme="majorBidi"/>
          <w:color w:val="1F1F1F"/>
          <w:lang w:val="en-US"/>
        </w:rPr>
        <w:t xml:space="preserve">environmental factors. Although research continues, </w:t>
      </w:r>
      <w:r w:rsidR="00525B45">
        <w:rPr>
          <w:rFonts w:asciiTheme="majorBidi" w:hAnsiTheme="majorBidi" w:cstheme="majorBidi"/>
          <w:color w:val="1F1F1F"/>
          <w:lang w:val="en-US"/>
        </w:rPr>
        <w:t xml:space="preserve">to establish </w:t>
      </w:r>
      <w:r w:rsidRPr="003314B7">
        <w:rPr>
          <w:rFonts w:asciiTheme="majorBidi" w:hAnsiTheme="majorBidi" w:cstheme="majorBidi"/>
          <w:color w:val="1F1F1F"/>
          <w:lang w:val="en-US"/>
        </w:rPr>
        <w:t>the fundamental mechanisms underlying this phenomenon remain unclear</w:t>
      </w:r>
      <w:r w:rsidR="00D945D0">
        <w:rPr>
          <w:rFonts w:asciiTheme="majorBidi" w:hAnsiTheme="majorBidi" w:cstheme="majorBidi"/>
          <w:color w:val="1F1F1F"/>
          <w:lang w:val="en-US"/>
        </w:rPr>
        <w:t xml:space="preserve"> </w:t>
      </w:r>
      <w:r w:rsidRPr="003314B7">
        <w:rPr>
          <w:rFonts w:asciiTheme="majorBidi" w:hAnsiTheme="majorBidi" w:cstheme="majorBidi"/>
          <w:color w:val="1F1F1F"/>
          <w:lang w:val="en-US"/>
        </w:rPr>
        <w:fldChar w:fldCharType="begin" w:fldLock="1"/>
      </w:r>
      <w:r w:rsidR="00382513" w:rsidRPr="003314B7">
        <w:rPr>
          <w:rFonts w:asciiTheme="majorBidi" w:hAnsiTheme="majorBidi" w:cstheme="majorBidi"/>
          <w:color w:val="1F1F1F"/>
          <w:lang w:val="en-US"/>
        </w:rPr>
        <w:instrText>ADDIN CSL_CITATION {"citationItems":[{"id":"ITEM-1","itemData":{"DOI":"https://doi.org/10.1016/j.cytogfr.2024.12.005","ISSN":"1359-6101","abstract":"Chronic Obstructive Pulmonary Disease (COPD) is a poorly reversible respiratory disorder distinguished by dyspnea, cough, expectoration and exacerbations due to abnormality of airways or emphysema. In this review, we consider the therapeutic potential of targeting Mammalian target of Rapamycin (mTOR) for treating COPD. The mTOR is a highly conserved serine-threonine protein kinase that integrates signals from growth factors and nutrients to control protein synthesis, lipid biogenesis and metabolism. Dysregulated mTOR pathway signaling due to genetic factors or cigarette smoking impairs autophagy, driving the buildup of abnormal cells and damaged proteins, resulting in inflammation and oxidative stress. Persistent mTOR activation also contributes to pulmonary vascular cell proliferation, facilitating the development of pulmonary resistance in COPD. Rapamycin, an inhibitor of mTOR, prevents the buildup of senescent cells in the lungs of COPD patients and inhibits the release of lung tissue-damaging proteases. mTOR also impacts the corticosteroid sensitivity in COPD patients by regulating the levels of histone deacetylases. The emerging role of gut-lung axis dysbiosis in the progression of COPD and its influence on mTOR further highlights the relevance of the mTOR pathway in COPD pathophysiology.","author":[{"dropping-particle":"","family":"Goyal","given":"Ankita","non-dropping-particle":"","parse-names":false,"suffix":""},{"dropping-particle":"","family":"Chopra","given":"Vishal","non-dropping-particle":"","parse-names":false,"suffix":""},{"dropping-particle":"","family":"Garg","given":"Kranti","non-dropping-particle":"","parse-names":false,"suffix":""},{"dropping-particle":"","family":"Sharma","given":"Siddharth","non-dropping-particle":"","parse-names":false,"suffix":""}],"container-title":"Cytokine &amp; Growth Factor Reviews","id":"ITEM-1","issued":{"date-parts":[["2025"]]},"page":"55-69","title":"Mechanisms coupling the mTOR pathway to chronic obstructive pulmonary disease (COPD) pathogenesis","type":"article-journal","volume":"82"},"uris":["http://www.mendeley.com/documents/?uuid=49a63f86-52f0-4930-8d6a-7006a1b6b778"]},{"id":"ITEM-2","itemData":{"DOI":"10.1016/j.heliyon.2024.e30612","ISSN":"24058440","abstract":"Chronic obstructive pulmonary disease (COPD) is a major cause of morbidity and healthcare burden worldwide. The progression of COPD is a combination of genetic predisposition and environmental factors, primarily cigarette smoking, and the underlying mechanisms are still unknown. Intestinal microecology impacts host immunity, metabolism, and resistance to pathogenic infections, which may be involved in pulmonary disease. Moreover, substantial interaction occurs between the intestinal and respiratory immune niches. After reviewing nearly 500 articles, we found the gut-lung axis plays an important role in the development of COPD. COPD patients often have dysbiosis of the intestinal microenvironment, which can affect host immunity through a series of mechanisms, exacerbating or protecting against COPD progression. This paper summarizes how the gut-lung axis influences COPD, including the alterations of intestinal microecology, the pathological mechanisms, and the involved immune responses. Finally, we summarize the latest research advances in COPD treatment from the perspective of regulating the gut-lung axis and intestinal immunity and evaluate the potential value of the gut-lung axis in improving COPD prognosis.","author":[{"dropping-particle":"","family":"Song","given":"Zhi","non-dropping-particle":"","parse-names":false,"suffix":""},{"dropping-particle":"","family":"Meng","given":"Yifei","non-dropping-particle":"","parse-names":false,"suffix":""},{"dropping-particle":"","family":"Fricker","given":"Michael","non-dropping-particle":"","parse-names":false,"suffix":""},{"dropping-particle":"","family":"Li","given":"Xin'ao","non-dropping-particle":"","parse-names":false,"suffix":""},{"dropping-particle":"","family":"Tian","given":"Haochen","non-dropping-particle":"","parse-names":false,"suffix":""},{"dropping-particle":"","family":"Tan","given":"Yurong","non-dropping-particle":"","parse-names":false,"suffix":""},{"dropping-particle":"","family":"Qin","given":"Ling","non-dropping-particle":"","parse-names":false,"suffix":""}],"container-title":"Heliyon","id":"ITEM-2","issue":"9","issued":{"date-parts":[["2024"]]},"page":"e30612","publisher":"Elsevier Ltd","title":"The role of gut-lung axis in COPD: Pathogenesis, immune response, and prospective treatment","type":"article-journal","volume":"10"},"uris":["http://www.mendeley.com/documents/?uuid=a0b8b1fe-3ebf-4bfb-84a8-2379670d3c69"]}],"mendeley":{"formattedCitation":"(1,2)","plainTextFormattedCitation":"(1,2)","previouslyFormattedCitation":"(1,2)"},"properties":{"noteIndex":0},"schema":"https://github.com/citation-style-language/schema/raw/master/csl-citation.json"}</w:instrText>
      </w:r>
      <w:r w:rsidRPr="003314B7">
        <w:rPr>
          <w:rFonts w:asciiTheme="majorBidi" w:hAnsiTheme="majorBidi" w:cstheme="majorBidi"/>
          <w:color w:val="1F1F1F"/>
          <w:lang w:val="en-US"/>
        </w:rPr>
        <w:fldChar w:fldCharType="separate"/>
      </w:r>
      <w:r w:rsidR="00E153AA" w:rsidRPr="003314B7">
        <w:rPr>
          <w:rFonts w:asciiTheme="majorBidi" w:hAnsiTheme="majorBidi" w:cstheme="majorBidi"/>
          <w:noProof/>
          <w:color w:val="1F1F1F"/>
          <w:lang w:val="en-US"/>
        </w:rPr>
        <w:t>(1,2)</w:t>
      </w:r>
      <w:r w:rsidRPr="003314B7">
        <w:rPr>
          <w:rFonts w:asciiTheme="majorBidi" w:hAnsiTheme="majorBidi" w:cstheme="majorBidi"/>
          <w:color w:val="1F1F1F"/>
          <w:lang w:val="en-US"/>
        </w:rPr>
        <w:fldChar w:fldCharType="end"/>
      </w:r>
      <w:r w:rsidR="00D945D0">
        <w:rPr>
          <w:rFonts w:asciiTheme="majorBidi" w:hAnsiTheme="majorBidi" w:cstheme="majorBidi"/>
          <w:color w:val="1F1F1F"/>
          <w:lang w:val="en-US"/>
        </w:rPr>
        <w:t>.</w:t>
      </w:r>
      <w:r w:rsidRPr="003314B7">
        <w:rPr>
          <w:rFonts w:asciiTheme="majorBidi" w:hAnsiTheme="majorBidi" w:cstheme="majorBidi"/>
          <w:color w:val="1B1B1B"/>
          <w:shd w:val="clear" w:color="auto" w:fill="FFFFFF"/>
          <w:lang w:val="en-US"/>
        </w:rPr>
        <w:t xml:space="preserve"> Cardiovascular disease</w:t>
      </w:r>
      <w:r w:rsidR="004446FF" w:rsidRPr="003314B7">
        <w:rPr>
          <w:rFonts w:asciiTheme="majorBidi" w:hAnsiTheme="majorBidi" w:cstheme="majorBidi"/>
          <w:color w:val="1B1B1B"/>
          <w:shd w:val="clear" w:color="auto" w:fill="FFFFFF"/>
          <w:lang w:val="en-US"/>
        </w:rPr>
        <w:t xml:space="preserve"> </w:t>
      </w:r>
      <w:r w:rsidRPr="003314B7">
        <w:rPr>
          <w:rFonts w:asciiTheme="majorBidi" w:hAnsiTheme="majorBidi" w:cstheme="majorBidi"/>
          <w:color w:val="1B1B1B"/>
          <w:shd w:val="clear" w:color="auto" w:fill="FFFFFF"/>
          <w:lang w:val="en-US"/>
        </w:rPr>
        <w:t>(CVD), particularly hypertension</w:t>
      </w:r>
      <w:r w:rsidR="00BF7EBC" w:rsidRPr="003314B7">
        <w:rPr>
          <w:rFonts w:asciiTheme="majorBidi" w:hAnsiTheme="majorBidi" w:cstheme="majorBidi"/>
          <w:color w:val="1B1B1B"/>
          <w:shd w:val="clear" w:color="auto" w:fill="FFFFFF"/>
          <w:lang w:val="en-US"/>
        </w:rPr>
        <w:t xml:space="preserve"> </w:t>
      </w:r>
      <w:r w:rsidRPr="003314B7">
        <w:rPr>
          <w:rFonts w:asciiTheme="majorBidi" w:hAnsiTheme="majorBidi" w:cstheme="majorBidi"/>
          <w:color w:val="1B1B1B"/>
          <w:shd w:val="clear" w:color="auto" w:fill="FFFFFF"/>
          <w:lang w:val="en-US"/>
        </w:rPr>
        <w:t xml:space="preserve">(HTN), often occurs alongside COPD and increases the risk of death. Statistics show that 35% of COPD patients also have HTN; when COPD is combined with coronary artery disease, it accounts </w:t>
      </w:r>
      <w:r w:rsidR="004B06EA" w:rsidRPr="003314B7">
        <w:rPr>
          <w:rFonts w:asciiTheme="majorBidi" w:hAnsiTheme="majorBidi" w:cstheme="majorBidi"/>
          <w:color w:val="1B1B1B"/>
          <w:shd w:val="clear" w:color="auto" w:fill="FFFFFF"/>
          <w:lang w:val="en-US"/>
        </w:rPr>
        <w:t xml:space="preserve">for </w:t>
      </w:r>
      <w:r w:rsidR="00506675" w:rsidRPr="003314B7">
        <w:rPr>
          <w:rFonts w:asciiTheme="majorBidi" w:hAnsiTheme="majorBidi" w:cstheme="majorBidi"/>
          <w:color w:val="1B1B1B"/>
          <w:shd w:val="clear" w:color="auto" w:fill="FFFFFF"/>
          <w:lang w:val="en-US"/>
        </w:rPr>
        <w:t xml:space="preserve">approximately </w:t>
      </w:r>
      <w:r w:rsidRPr="003314B7">
        <w:rPr>
          <w:rFonts w:asciiTheme="majorBidi" w:hAnsiTheme="majorBidi" w:cstheme="majorBidi"/>
          <w:color w:val="1B1B1B"/>
          <w:shd w:val="clear" w:color="auto" w:fill="FFFFFF"/>
          <w:lang w:val="en-US"/>
        </w:rPr>
        <w:t xml:space="preserve"> 62% of </w:t>
      </w:r>
      <w:r w:rsidR="00DC029C" w:rsidRPr="003314B7">
        <w:rPr>
          <w:rFonts w:asciiTheme="majorBidi" w:hAnsiTheme="majorBidi" w:cstheme="majorBidi"/>
          <w:color w:val="1B1B1B"/>
          <w:shd w:val="clear" w:color="auto" w:fill="FFFFFF"/>
          <w:lang w:val="en-US"/>
        </w:rPr>
        <w:t xml:space="preserve">the </w:t>
      </w:r>
      <w:r w:rsidRPr="003314B7">
        <w:rPr>
          <w:rFonts w:asciiTheme="majorBidi" w:hAnsiTheme="majorBidi" w:cstheme="majorBidi"/>
          <w:color w:val="1B1B1B"/>
          <w:shd w:val="clear" w:color="auto" w:fill="FFFFFF"/>
          <w:lang w:val="en-US"/>
        </w:rPr>
        <w:t>morbidity</w:t>
      </w:r>
      <w:r w:rsidR="00DC029C" w:rsidRPr="003314B7">
        <w:rPr>
          <w:rFonts w:asciiTheme="majorBidi" w:hAnsiTheme="majorBidi" w:cstheme="majorBidi"/>
          <w:color w:val="1B1B1B"/>
          <w:shd w:val="clear" w:color="auto" w:fill="FFFFFF"/>
          <w:lang w:val="en-US"/>
        </w:rPr>
        <w:t xml:space="preserve"> of  </w:t>
      </w:r>
      <w:r w:rsidRPr="003314B7">
        <w:rPr>
          <w:rFonts w:asciiTheme="majorBidi" w:hAnsiTheme="majorBidi" w:cstheme="majorBidi"/>
          <w:color w:val="1B1B1B"/>
          <w:shd w:val="clear" w:color="auto" w:fill="FFFFFF"/>
          <w:lang w:val="en-US"/>
        </w:rPr>
        <w:t>COPD patients</w:t>
      </w:r>
      <w:r w:rsidR="00D945D0">
        <w:rPr>
          <w:rFonts w:asciiTheme="majorBidi" w:hAnsiTheme="majorBidi" w:cstheme="majorBidi"/>
          <w:color w:val="1B1B1B"/>
          <w:shd w:val="clear" w:color="auto" w:fill="FFFFFF"/>
          <w:lang w:val="en-US"/>
        </w:rPr>
        <w:t xml:space="preserve"> </w:t>
      </w:r>
      <w:r w:rsidRPr="003314B7">
        <w:rPr>
          <w:rFonts w:asciiTheme="majorBidi" w:hAnsiTheme="majorBidi" w:cstheme="majorBidi"/>
          <w:color w:val="1B1B1B"/>
          <w:shd w:val="clear" w:color="auto" w:fill="FFFFFF"/>
          <w:lang w:val="en-US"/>
        </w:rPr>
        <w:fldChar w:fldCharType="begin" w:fldLock="1"/>
      </w:r>
      <w:r w:rsidR="00382513" w:rsidRPr="003314B7">
        <w:rPr>
          <w:rFonts w:asciiTheme="majorBidi" w:hAnsiTheme="majorBidi" w:cstheme="majorBidi"/>
          <w:color w:val="1B1B1B"/>
          <w:shd w:val="clear" w:color="auto" w:fill="FFFFFF"/>
          <w:lang w:val="en-US"/>
        </w:rPr>
        <w:instrText>ADDIN CSL_CITATION {"citationItems":[{"id":"ITEM-1","itemData":{"DOI":"10.25122/jml-2019-0108","ISSN":"18443117","PMID":"32025262","abstract":"There is an increasing number of studies suggesting the role of genetic factors in the development and progression of chronic obstructive pulmonary disease and hypertension. Therefore, our study aimed to establish the role of ACE and AGT gene polymorphisms in the mechanisms behind the development of oxidative stress in patients with concomitant chronic obstructive pulmonary disease and hypertension. The study group consisted of 96 patients: Group 1 (individuals with a chronic obstructive pulmonary disease), Group 2 (individuals with arterial hypertension), Group 3 (individuals with a chronic obstructive pulmonary disease and arterial hypertension). The control group consisted of 20 healthy subjects. ACE and AGT gene polymorphisms were determined by polymerase chain reaction amplification. Detection of intracellular reactive oxygen species levels was performed by EPICS XL cytometer (Beckman Coulter, USA) with dichlorodihydrofluorescein diacetate and dihydroethidium. Serum levels of 8-isoprostane were assayed with ELISA, Cayman Chemicals (USA). No significant correlations between ACE and AGT gene polymorphisms and parameters of oxidative stress in a setting of comorbid chronic obstructive pulmonary disease and hypertension were observed. However, the increase in oxidative stress parameters was observed to be the most significant in patients with chronic obstructive pulmonary disease + hypertension and with I/I genotype of the ACE gene, which was due to their lowest values in virtually healthy individuals. This suggests that I/I genotype may be associated with lower levels of reactive oxygen species production compared with other genotypes.","author":[{"dropping-particle":"","family":"Marushchak","given":"Mariya","non-dropping-particle":"","parse-names":false,"suffix":""},{"dropping-particle":"","family":"Maksiv","given":"Khrystyna","non-dropping-particle":"","parse-names":false,"suffix":""},{"dropping-particle":"","family":"Krynytska","given":"Inna","non-dropping-particle":"","parse-names":false,"suffix":""},{"dropping-particle":"","family":"Dutchak","given":"Olha","non-dropping-particle":"","parse-names":false,"suffix":""},{"dropping-particle":"","family":"Behosh","given":"Nina","non-dropping-particle":"","parse-names":false,"suffix":""}],"container-title":"Journal of Medicine and Life","id":"ITEM-1","issue":"4","issued":{"date-parts":[["2019"]]},"page":"426-434","title":"The Severity of Oxidative Stress in Comorbid Chronic Obstructive Pulmonary Disease (COPD) and Hypertension: Does it Depend On ACE and AGT Gene Polymorphisms?","type":"article-journal","volume":"12"},"uris":["http://www.mendeley.com/documents/?uuid=c1e12dad-ec43-4c4a-9403-63b06e22971d"]}],"mendeley":{"formattedCitation":"(3)","plainTextFormattedCitation":"(3)","previouslyFormattedCitation":"(3)"},"properties":{"noteIndex":0},"schema":"https://github.com/citation-style-language/schema/raw/master/csl-citation.json"}</w:instrText>
      </w:r>
      <w:r w:rsidRPr="003314B7">
        <w:rPr>
          <w:rFonts w:asciiTheme="majorBidi" w:hAnsiTheme="majorBidi" w:cstheme="majorBidi"/>
          <w:color w:val="1B1B1B"/>
          <w:shd w:val="clear" w:color="auto" w:fill="FFFFFF"/>
          <w:lang w:val="en-US"/>
        </w:rPr>
        <w:fldChar w:fldCharType="separate"/>
      </w:r>
      <w:r w:rsidR="00E153AA" w:rsidRPr="003314B7">
        <w:rPr>
          <w:rFonts w:asciiTheme="majorBidi" w:hAnsiTheme="majorBidi" w:cstheme="majorBidi"/>
          <w:noProof/>
          <w:color w:val="1B1B1B"/>
          <w:shd w:val="clear" w:color="auto" w:fill="FFFFFF"/>
          <w:lang w:val="en-US"/>
        </w:rPr>
        <w:t>(3)</w:t>
      </w:r>
      <w:r w:rsidRPr="003314B7">
        <w:rPr>
          <w:rFonts w:asciiTheme="majorBidi" w:hAnsiTheme="majorBidi" w:cstheme="majorBidi"/>
          <w:color w:val="1B1B1B"/>
          <w:shd w:val="clear" w:color="auto" w:fill="FFFFFF"/>
          <w:lang w:val="en-US"/>
        </w:rPr>
        <w:fldChar w:fldCharType="end"/>
      </w:r>
      <w:r w:rsidR="00D945D0">
        <w:rPr>
          <w:rFonts w:asciiTheme="majorBidi" w:hAnsiTheme="majorBidi" w:cstheme="majorBidi"/>
          <w:color w:val="1B1B1B"/>
          <w:shd w:val="clear" w:color="auto" w:fill="FFFFFF"/>
          <w:lang w:val="en-US"/>
        </w:rPr>
        <w:t>.</w:t>
      </w:r>
    </w:p>
    <w:p w14:paraId="30E3BA92" w14:textId="56B82AAC" w:rsidR="001C40FD" w:rsidRPr="003314B7" w:rsidRDefault="007E09BE" w:rsidP="00A3639A">
      <w:pPr>
        <w:spacing w:line="360" w:lineRule="auto"/>
        <w:jc w:val="both"/>
        <w:rPr>
          <w:rFonts w:asciiTheme="majorBidi" w:hAnsiTheme="majorBidi" w:cstheme="majorBidi"/>
          <w:lang w:val="en-US"/>
        </w:rPr>
      </w:pPr>
      <w:r>
        <w:rPr>
          <w:rFonts w:asciiTheme="majorBidi" w:hAnsiTheme="majorBidi" w:cstheme="majorBidi"/>
          <w:lang w:val="en-US"/>
        </w:rPr>
        <w:t>COPD is classified a</w:t>
      </w:r>
      <w:r w:rsidR="001C40FD" w:rsidRPr="003314B7">
        <w:rPr>
          <w:rFonts w:asciiTheme="majorBidi" w:hAnsiTheme="majorBidi" w:cstheme="majorBidi"/>
          <w:lang w:val="en-US"/>
        </w:rPr>
        <w:t>s the third most common cause of death globally</w:t>
      </w:r>
      <w:r>
        <w:rPr>
          <w:rFonts w:asciiTheme="majorBidi" w:hAnsiTheme="majorBidi" w:cstheme="majorBidi"/>
          <w:lang w:val="en-US"/>
        </w:rPr>
        <w:t>.</w:t>
      </w:r>
      <w:r w:rsidRPr="003314B7">
        <w:rPr>
          <w:rFonts w:asciiTheme="majorBidi" w:hAnsiTheme="majorBidi" w:cstheme="majorBidi"/>
          <w:lang w:val="en-US"/>
        </w:rPr>
        <w:t xml:space="preserve"> </w:t>
      </w:r>
      <w:r w:rsidR="001C40FD" w:rsidRPr="003314B7">
        <w:rPr>
          <w:rFonts w:asciiTheme="majorBidi" w:hAnsiTheme="majorBidi" w:cstheme="majorBidi"/>
          <w:lang w:val="en-US"/>
        </w:rPr>
        <w:t>COPD impacts millions and imposes substantial socioeconomic challenges, particularly in low- and middle-income countries (LMICs). In 2020, approximately 10.6% of individuals aged 40 and older were affected, which translates to around 480 million cases worldwide. The situation in India is particularly severe, with the nation representing 16.7% of global COPD cases and an unequal percentage of deaths (28.6%) and Disability-Adjusted Life Years (DALYs) (30.1%). India leads the world in COPD-related Disability-Adjusted Life Years (DALYs), amounting to 24 million, and ranks second in both prevalence, with 35.8 million cases, and mortality, with 1.06 million annually. The true burden may be even greater than what is recorded</w:t>
      </w:r>
      <w:r w:rsidR="00D945D0">
        <w:rPr>
          <w:rFonts w:asciiTheme="majorBidi" w:hAnsiTheme="majorBidi" w:cstheme="majorBidi"/>
          <w:lang w:val="en-US"/>
        </w:rPr>
        <w:t xml:space="preserve"> </w:t>
      </w:r>
      <w:r w:rsidR="001C40FD"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{"citationItems":[{"id":"ITEM-1","itemData":{"DOI":"10.1186/s13690-020-00458-3","ISSN":"20493258","abstract":"Background: The World Health Organization collaborated in the first Global Burden of Disease Study (GBD), published in the 1993 World Development Report. This paper summarizes the substantial methodological improvements and expanding scope of GBD work carried out by WHO over the next 25 years. Methods: This review is based on a review of WHO and UN interagency work relating to Global Burden of Disease over the last 20 years, supplemented by a literature review of published papers and commentaries on global burden of disease activities and the production of global health statistics. Results: WHO development of global burden of disease work in the Millenium Development Goal era resulted in regular publication of time series estimates of deaths by cause, age and sex at country level, consistent with UN population and life table estimates, and with cause-specific statistics produced across UN agencies and interagency collaborations. This positioned WHO as the lead agency to monitor many of the 43 health-related indicators for the UN Sustainable Development Goals. In 2007, the Institute of Health Metrics and Evaluation (IHME) was established to conduct new global burden of disease and related work, funded by the Bill and Melinda Gates Foundation (BMGF). WHO was a core collaborator in its first GBD2010 study, but withdrew prior to publication as it was unable to obtain full access input data and methods. The publication of global health statistics by IHME resulted in user confusion and in debate over differences and the reasons for them. The new WHO administration of Director General Dr. Tedros Ghebreyesus has sought to make greater use of IHME outputs for its global health statistics and SDG monitoring. Conclusions: WHO work on global burden of disease has positioned it to be the lead agency for monitoring many of the UN Sustainable Development Goals. Current moves to use IHME analyses raises a number of issues for WHO and for Member States in relation to WHO's constitutional mandate, its accountability to Member States, the consistency of WHO and UN demographic and health statistics, and the ability of Member States to engage with the results of the complex and computer-intensive modelling procedures used by IHME. As new global health actors and funders have arisen in recent decades, and funding to carry out WHO's expanding mandate has declined, it is unclear whether WHO has the ability or desire to continue as the lead agency for global health statistics.","author":[{"dropping-particle":"","family":"Mathers","given":"Colin D.","non-dropping-particle":"","parse-names":false,"suffix":""}],"container-title":"Archives of Public Health","id":"ITEM-1","issue":"1","issued":{"date-parts":[["2020"]]},"page":"1-13","publisher":"Archives of Public Health","title":"History of global burden of disease assessment at the World Health Organization","type":"article-journal","volume":"78"},"uris":["http://www.mendeley.com/documents/?uuid=33bf798b-b3b0-468e-a6df-7d81795b7292"]},{"id":"ITEM-2","itemData":{"DOI":"10.1016/S2213-2600(24)00339-4","ISSN":"22132619","abstract":"Chronic obstructive pulmonary disease (COPD) affects more than 400 million people, continues to be the third cause of death worldwide, and has substantial regional variations in prevalence, risk factors, and temporal trends. COPD is associated with major socioeconomic and health consequences, with low-income and middle-income countries contributing the most to its growing burden. COPD prevalence among women is projected to increase, while that among men will decrease. This difference is possibly because tobacco consumption among women is decreasing at a slower rate than among men. Also, women are more likely to be exposed to other risk factors such as biomass combustion products. Most COPD cases are preventable given the role that smoking and environmental factors play in its development. Knowledge of the causes of COPD in different areas of the globe could provide new insights to address the geographical disparity of the disease and thus make COPD prevention a reality. It is important to implement preventive health policies that might mitigate the expected increase in COPD in women in low-income and middle-income countries and have already proven successful in some regions with high prevalence of the disease. In addition, a reduction in the huge burden of underdiagnosed COPD is necessary to offer effective secondary and tertiary preventive interventions.","author":[{"dropping-particle":"","family":"Oca","given":"Maria Montes","non-dropping-particle":"de","parse-names":false,"suffix":""},{"dropping-particle":"","family":"Perez-Padilla","given":"Rogelio","non-dropping-particle":"","parse-names":false,"suffix":""},{"dropping-particle":"","family":"Celli","given":"Bartolome","non-dropping-particle":"","parse-names":false,"suffix":""},{"dropping-particle":"","family":"Aaron","given":"Shawn D.","non-dropping-particle":"","parse-names":false,"suffix":""},{"dropping-particle":"","family":"Wehrmeister","given":"Fernando C.","non-dropping-particle":"","parse-names":false,"suffix":""},{"dropping-particle":"","family":"Amaral","given":"André F.S.","non-dropping-particle":"","parse-names":false,"suffix":""},{"dropping-particle":"","family":"Mannino","given":"David","non-dropping-particle":"","parse-names":false,"suffix":""},{"dropping-particle":"","family":"Zheng","given":"Jinping","non-dropping-particle":"","parse-names":false,"suffix":""},{"dropping-particle":"","family":"Salvi","given":"Sundeep","non-dropping-particle":"","parse-names":false,"suffix":""},{"dropping-particle":"","family":"Obaseki","given":"Daniel","non-dropping-particle":"","parse-names":false,"suffix":""},{"dropping-particle":"","family":"Buist","given":"A. Sonia","non-dropping-particle":"","parse-names":false,"suffix":""},{"dropping-particle":"","family":"Menezes","given":"Ana","non-dropping-particle":"","parse-names":false,"suffix":""}],"container-title":"The Lancet Respiratory Medicine","id":"ITEM-2","issue":"8","issued":{"date-parts":[["2025"]]},"page":"709-724","title":"The global burden of COPD: epidemiology and effect of prevention strategies","type":"article-journal","volume":"13"},"uris":["http://www.mendeley.com/documents/?uuid=2d48d5c9-1f42-44f4-9d0f-01cdff1fee67"]}],"mendeley":{"formattedCitation":"(4,5)","plainTextFormattedCitation":"(4,5)","previouslyFormattedCitation":"(4,5)"},"properties":{"noteIndex":0},"schema":"https://github.com/citation-style-language/schema/raw/master/csl-citation.json"}</w:instrText>
      </w:r>
      <w:r w:rsidR="001C40FD" w:rsidRPr="003314B7">
        <w:rPr>
          <w:rFonts w:asciiTheme="majorBidi" w:hAnsiTheme="majorBidi" w:cstheme="majorBidi"/>
          <w:lang w:val="en-US"/>
        </w:rPr>
        <w:fldChar w:fldCharType="separate"/>
      </w:r>
      <w:r w:rsidR="00E153AA" w:rsidRPr="003314B7">
        <w:rPr>
          <w:rFonts w:asciiTheme="majorBidi" w:hAnsiTheme="majorBidi" w:cstheme="majorBidi"/>
          <w:noProof/>
          <w:lang w:val="en-US"/>
        </w:rPr>
        <w:t>(4,5)</w:t>
      </w:r>
      <w:r w:rsidR="001C40FD" w:rsidRPr="003314B7">
        <w:rPr>
          <w:rFonts w:asciiTheme="majorBidi" w:hAnsiTheme="majorBidi" w:cstheme="majorBidi"/>
          <w:lang w:val="en-US"/>
        </w:rPr>
        <w:fldChar w:fldCharType="end"/>
      </w:r>
      <w:r w:rsidR="00D945D0">
        <w:rPr>
          <w:rFonts w:asciiTheme="majorBidi" w:hAnsiTheme="majorBidi" w:cstheme="majorBidi"/>
          <w:lang w:val="en-US"/>
        </w:rPr>
        <w:t>.</w:t>
      </w:r>
    </w:p>
    <w:p w14:paraId="2B793D12" w14:textId="7D0BA835" w:rsidR="001C40FD" w:rsidRPr="003314B7" w:rsidRDefault="001C40FD" w:rsidP="00A3639A">
      <w:pPr>
        <w:spacing w:line="360" w:lineRule="auto"/>
        <w:jc w:val="both"/>
        <w:rPr>
          <w:rFonts w:asciiTheme="majorBidi" w:hAnsiTheme="majorBidi" w:cstheme="majorBidi"/>
          <w:lang w:val="en-US"/>
        </w:rPr>
      </w:pPr>
      <w:r w:rsidRPr="003314B7">
        <w:rPr>
          <w:rFonts w:asciiTheme="majorBidi" w:hAnsiTheme="majorBidi" w:cstheme="majorBidi"/>
          <w:lang w:val="en-US"/>
        </w:rPr>
        <w:t xml:space="preserve">The Global Initiative for Chronic Obstructive Pulmonary Disease (GOLD) in 2017 highlighted genetic factors as significant contributors to COPD risk, with </w:t>
      </w:r>
      <w:r w:rsidR="00827010" w:rsidRPr="003314B7">
        <w:rPr>
          <w:rFonts w:asciiTheme="majorBidi" w:hAnsiTheme="majorBidi" w:cstheme="majorBidi"/>
          <w:lang w:val="en-US"/>
        </w:rPr>
        <w:t xml:space="preserve">the </w:t>
      </w:r>
      <w:r w:rsidRPr="003314B7">
        <w:rPr>
          <w:rFonts w:asciiTheme="majorBidi" w:hAnsiTheme="majorBidi" w:cstheme="majorBidi"/>
          <w:lang w:val="en-US"/>
        </w:rPr>
        <w:t>ACE gene identified as a crucial factor. Variations in the ACE gene, particularly the I/D polymorphism, can significantly impact enzyme activity, potentially contributing to inflammation and the development of COPD. Angiotensin II (Ang II), produced by ACE, exacerbates the condition through its harmful effects on vascular function and inflammation</w:t>
      </w:r>
      <w:r w:rsidR="00D945D0">
        <w:rPr>
          <w:rFonts w:asciiTheme="majorBidi" w:hAnsiTheme="majorBidi" w:cstheme="majorBidi"/>
          <w:lang w:val="en-US"/>
        </w:rPr>
        <w:t xml:space="preserve"> </w:t>
      </w:r>
      <w:r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{"citationItems":[{"id":"ITEM-1","itemData":{"DOI":"10.21873/INVIVO.12672","ISSN":"17917549","PMID":"34972696","abstract":"Chronic and acute respiratory diseases pose a major problem for public health worldwide due to the high morbidity and mortality rates, while treatment options remain mostly symptomatic. The renin-angiotensin system (RAS) plays an important role in lung tissue, regulating pulmonary circulation and blood pressure, but also contributing to normal pulmonary function and development. Angiotensin-converting enzyme (ACE) and its homologous angiotensin-converting enzyme 2 (ACE2) are considered to be amongst the main RAS regulators and are highly expressed in the pulmonary vascular endothelium. This review discusses the impact of ACE and ACE2 functional gene polymorphisms on seven major pulmonary diseases, in terms of predisposition, course, and outcome, revealing their potential utility as both genetic markers and biomarkers. The discussed conditions include chronic obstructive pulmonary disease (COPD), pulmonary hypertension (PH), asthma, acute lung injury (ALI), acute respiratory distress syndrome (ARDS), lung cancer and pulmonary sarcoidosis (PS), as well as SARS-CoV-2 viral infection and COVID-19 disease.","author":[{"dropping-particle":"","family":"Gintoni","given":"Iphigenia","non-dropping-particle":"","parse-names":false,"suffix":""},{"dropping-particle":"","family":"Adamopoulou","given":"Maria","non-dropping-particle":"","parse-names":false,"suffix":""},{"dropping-particle":"","family":"Yapijakis","given":"Christos","non-dropping-particle":"","parse-names":false,"suffix":""}],"container-title":"In Vivo","id":"ITEM-1","issue":"1","issued":{"date-parts":[["2022"]]},"page":"13-29","title":"The Impact of ACE and ACE2 Gene Polymorphisms in Pulmonary Diseases including COVID-19","type":"article-journal","volume":"36"},"uris":["http://www.mendeley.com/documents/?uuid=3eccae74-2c7c-4749-a8df-29ad60ae8578"]}],"mendeley":{"formattedCitation":"(6)","plainTextFormattedCitation":"(6)","previouslyFormattedCitation":"(6)"},"properties":{"noteIndex":0},"schema":"https://github.com/citation-style-language/schema/raw/master/csl-citation.json"}</w:instrText>
      </w:r>
      <w:r w:rsidRPr="003314B7">
        <w:rPr>
          <w:rFonts w:asciiTheme="majorBidi" w:hAnsiTheme="majorBidi" w:cstheme="majorBidi"/>
          <w:lang w:val="en-US"/>
        </w:rPr>
        <w:fldChar w:fldCharType="separate"/>
      </w:r>
      <w:r w:rsidR="00E153AA" w:rsidRPr="003314B7">
        <w:rPr>
          <w:rFonts w:asciiTheme="majorBidi" w:hAnsiTheme="majorBidi" w:cstheme="majorBidi"/>
          <w:noProof/>
          <w:lang w:val="en-US"/>
        </w:rPr>
        <w:t>(6)</w:t>
      </w:r>
      <w:r w:rsidRPr="003314B7">
        <w:rPr>
          <w:rFonts w:asciiTheme="majorBidi" w:hAnsiTheme="majorBidi" w:cstheme="majorBidi"/>
          <w:lang w:val="en-US"/>
        </w:rPr>
        <w:fldChar w:fldCharType="end"/>
      </w:r>
      <w:r w:rsidR="00D945D0">
        <w:rPr>
          <w:rFonts w:asciiTheme="majorBidi" w:hAnsiTheme="majorBidi" w:cstheme="majorBidi"/>
          <w:lang w:val="en-US"/>
        </w:rPr>
        <w:t>.</w:t>
      </w:r>
    </w:p>
    <w:p w14:paraId="5CCFC876" w14:textId="7D046CDC" w:rsidR="0089221F" w:rsidRPr="003314B7" w:rsidRDefault="001C40FD" w:rsidP="0089221F">
      <w:pPr>
        <w:spacing w:line="360" w:lineRule="auto"/>
        <w:jc w:val="both"/>
        <w:rPr>
          <w:rStyle w:val="oxzekf"/>
          <w:rFonts w:asciiTheme="majorBidi" w:hAnsiTheme="majorBidi" w:cstheme="majorBidi"/>
          <w:color w:val="1C1C1C"/>
          <w:shd w:val="clear" w:color="auto" w:fill="FFFFFF"/>
          <w:lang w:val="en-US"/>
        </w:rPr>
      </w:pPr>
      <w:r w:rsidRPr="003314B7">
        <w:rPr>
          <w:rFonts w:asciiTheme="majorBidi" w:hAnsiTheme="majorBidi" w:cstheme="majorBidi"/>
          <w:lang w:val="en-US"/>
        </w:rPr>
        <w:t xml:space="preserve">The renin-angiotensin system (RAS) plays a crucial role in lung health, with ACE being essential for generating </w:t>
      </w:r>
      <w:r w:rsidR="000425C1">
        <w:rPr>
          <w:rFonts w:asciiTheme="majorBidi" w:hAnsiTheme="majorBidi" w:cstheme="majorBidi"/>
          <w:lang w:val="en-US"/>
        </w:rPr>
        <w:t>angiotensin II (Ang II)</w:t>
      </w:r>
      <w:r w:rsidRPr="003314B7">
        <w:rPr>
          <w:rFonts w:asciiTheme="majorBidi" w:hAnsiTheme="majorBidi" w:cstheme="majorBidi"/>
          <w:lang w:val="en-US"/>
        </w:rPr>
        <w:t xml:space="preserve">. Disruptions in ACE levels can lead to severe complications. The I/D polymorphism notably influences ACE concentration, especially in individuals having the DD genotype, who experience significantly higher levels associated with various lung diseases, including COPD and COVID-19. Importantly, the ACE2/Ang 1-7/MasR axis counterbalances the adverse effects of Ang II, highlighting the need for a balanced </w:t>
      </w:r>
      <w:r w:rsidRPr="003314B7">
        <w:rPr>
          <w:rFonts w:asciiTheme="majorBidi" w:hAnsiTheme="majorBidi" w:cstheme="majorBidi"/>
          <w:lang w:val="en-US"/>
        </w:rPr>
        <w:lastRenderedPageBreak/>
        <w:t>response within the RAS</w:t>
      </w:r>
      <w:r w:rsidR="00D945D0">
        <w:rPr>
          <w:rFonts w:asciiTheme="majorBidi" w:hAnsiTheme="majorBidi" w:cstheme="majorBidi"/>
          <w:lang w:val="en-US"/>
        </w:rPr>
        <w:t xml:space="preserve"> </w:t>
      </w:r>
      <w:r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{"citationItems":[{"id":"ITEM-1","itemData":{"DOI":"10.1111/crj.70002","ISSN":"1752699X","PMID":"39188047","abstract":"At present, the angiotensin-converting enzyme (ACE) I/D polymorphism was considered to be associated to the pathogenesis of chronic obstructive pulmonary disease (COPD). However, the association between it and the risk of COPD in different ethnic groups is still unclear. The purpose of this study is to conduct an updated meta-analysis of the association between them; collect literatures published before 10 February 2023 by searching PubMed, Embase, MEDLINE, CBM, CNKI, Wanfang, and VIP Chinese scientific databases; and display the analysis results by drawing forest plots. At the same time, publication bias, sensitivity analysis, and trial sequential analysis (TSA) were performed to evaluate the stability and reliability of the results. In the overall population, the result of the DD versus II model showed the association with the risk of COPD ([OR] = 1.30, 95% CI [1.08, 1.56]), and there were no associations in other genetic models (p &gt; 0.05). In Caucasians, the results of all genetic models showed no associations (p &gt; 0.05). In Asians, the results of D versus I, DD versus II, and DD versus II + ID models showed the associations with the risk of COPD (D vs. I: [OR] = 1.48, 95% CI [1.14, 1.93]; DD vs. II: [OR] = 2.04, 95% CI [1.53, 2.72]; DD vs. II + ID: [OR] = 2.19, 95% CI [1.45, 3.29]), while the results of ID versus II and DD + ID versus II models showed no associations (p &gt; 0.05). Therefore, the D allele and “DD” genotype variation of the ACE I/D gene polymorphism are associated with susceptibility to COPD in Asians but not in Caucasians.","author":[{"dropping-particle":"","family":"Wu","given":"Xiaozheng","non-dropping-particle":"","parse-names":false,"suffix":""},{"dropping-particle":"","family":"Li","given":"Wen","non-dropping-particle":"","parse-names":false,"suffix":""},{"dropping-particle":"","family":"Luo","given":"Zhenliang","non-dropping-particle":"","parse-names":false,"suffix":""},{"dropping-particle":"","family":"Chen","given":"Yunzhi","non-dropping-particle":"","parse-names":false,"suffix":""}],"container-title":"Clinical Respiratory Journal","id":"ITEM-1","issue":"8","issued":{"date-parts":[["2024"]]},"title":"Increased Frequency of Angiotensin-Converting Enzyme D Allele in Asian Patients With Chronic Obstructive Pulmonary Disease: An Updated Meta-Analysis","type":"article-journal","volume":"18"},"uris":["http://www.mendeley.com/documents/?uuid=d41c43f1-4456-45ab-b2d4-c4abe41249d0"]}],"mendeley":{"formattedCitation":"(7)","plainTextFormattedCitation":"(7)","previouslyFormattedCitation":"(7)"},"properties":{"noteIndex":0},"schema":"https://github.com/citation-style-language/schema/raw/master/csl-citation.json"}</w:instrText>
      </w:r>
      <w:r w:rsidRPr="003314B7">
        <w:rPr>
          <w:rFonts w:asciiTheme="majorBidi" w:hAnsiTheme="majorBidi" w:cstheme="majorBidi"/>
          <w:lang w:val="en-US"/>
        </w:rPr>
        <w:fldChar w:fldCharType="separate"/>
      </w:r>
      <w:r w:rsidR="00E153AA" w:rsidRPr="003314B7">
        <w:rPr>
          <w:rFonts w:asciiTheme="majorBidi" w:hAnsiTheme="majorBidi" w:cstheme="majorBidi"/>
          <w:noProof/>
          <w:lang w:val="en-US"/>
        </w:rPr>
        <w:t>(7)</w:t>
      </w:r>
      <w:r w:rsidRPr="003314B7">
        <w:rPr>
          <w:rFonts w:asciiTheme="majorBidi" w:hAnsiTheme="majorBidi" w:cstheme="majorBidi"/>
          <w:lang w:val="en-US"/>
        </w:rPr>
        <w:fldChar w:fldCharType="end"/>
      </w:r>
      <w:r w:rsidR="00D945D0">
        <w:rPr>
          <w:rFonts w:asciiTheme="majorBidi" w:hAnsiTheme="majorBidi" w:cstheme="majorBidi"/>
          <w:lang w:val="en-US"/>
        </w:rPr>
        <w:t>.</w:t>
      </w:r>
      <w:r w:rsidR="007E09BE">
        <w:rPr>
          <w:rFonts w:asciiTheme="majorBidi" w:hAnsiTheme="majorBidi" w:cstheme="majorBidi"/>
          <w:color w:val="1C1C1C"/>
          <w:shd w:val="clear" w:color="auto" w:fill="FFFFFF"/>
          <w:lang w:val="en-US"/>
        </w:rPr>
        <w:t xml:space="preserve"> </w:t>
      </w:r>
      <w:r w:rsidRPr="003314B7">
        <w:rPr>
          <w:rFonts w:asciiTheme="majorBidi" w:hAnsiTheme="majorBidi" w:cstheme="majorBidi"/>
          <w:color w:val="1C1C1C"/>
          <w:shd w:val="clear" w:color="auto" w:fill="FFFFFF"/>
          <w:lang w:val="en-US"/>
        </w:rPr>
        <w:t>COPD and HTN are conditions influenced by genetics, involving various genes, gene combinations, and gene interactions, as well as epigenetic factors that contribute to their development</w:t>
      </w:r>
      <w:r w:rsidR="00D945D0">
        <w:rPr>
          <w:rFonts w:asciiTheme="majorBidi" w:hAnsiTheme="majorBidi" w:cstheme="majorBidi"/>
          <w:lang w:val="en-US"/>
        </w:rPr>
        <w:t xml:space="preserve"> </w:t>
      </w:r>
      <w:r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{"citationItems":[{"id":"ITEM-1","itemData":{"DOI":"10.1111/crj.70002","ISSN":"1752699X","PMID":"39188047","abstract":"At present, the angiotensin-converting enzyme (ACE) I/D polymorphism was considered to be associated to the pathogenesis of chronic obstructive pulmonary disease (COPD). However, the association between it and the risk of COPD in different ethnic groups is still unclear. The purpose of this study is to conduct an updated meta-analysis of the association between them; collect literatures published before 10 February 2023 by searching PubMed, Embase, MEDLINE, CBM, CNKI, Wanfang, and VIP Chinese scientific databases; and display the analysis results by drawing forest plots. At the same time, publication bias, sensitivity analysis, and trial sequential analysis (TSA) were performed to evaluate the stability and reliability of the results. In the overall population, the result of the DD versus II model showed the association with the risk of COPD ([OR] = 1.30, 95% CI [1.08, 1.56]), and there were no associations in other genetic models (p &gt; 0.05). In Caucasians, the results of all genetic models showed no associations (p &gt; 0.05). In Asians, the results of D versus I, DD versus II, and DD versus II + ID models showed the associations with the risk of COPD (D vs. I: [OR] = 1.48, 95% CI [1.14, 1.93]; DD vs. II: [OR] = 2.04, 95% CI [1.53, 2.72]; DD vs. II + ID: [OR] = 2.19, 95% CI [1.45, 3.29]), while the results of ID versus II and DD + ID versus II models showed no associations (p &gt; 0.05). Therefore, the D allele and “DD” genotype variation of the ACE I/D gene polymorphism are associated with susceptibility to COPD in Asians but not in Caucasians.","author":[{"dropping-particle":"","family":"Wu","given":"Xiaozheng","non-dropping-particle":"","parse-names":false,"suffix":""},{"dropping-particle":"","family":"Li","given":"Wen","non-dropping-particle":"","parse-names":false,"suffix":""},{"dropping-particle":"","family":"Luo","given":"Zhenliang","non-dropping-particle":"","parse-names":false,"suffix":""},{"dropping-particle":"","family":"Chen","given":"Yunzhi","non-dropping-particle":"","parse-names":false,"suffix":""}],"container-title":"Clinical Respiratory Journal","id":"ITEM-1","issue":"8","issued":{"date-parts":[["2024"]]},"title":"Increased Frequency of Angiotensin-Converting Enzyme D Allele in Asian Patients With Chronic Obstructive Pulmonary Disease: An Updated Meta-Analysis","type":"article-journal","volume":"18"},"uris":["http://www.mendeley.com/documents/?uuid=d41c43f1-4456-45ab-b2d4-c4abe41249d0"]},{"id":"ITEM-2","itemData":{"DOI":"10.21873/INVIVO.12672","ISSN":"17917549","PMID":"34972696","abstract":"Chronic and acute respiratory diseases pose a major problem for public health worldwide due to the high morbidity and mortality rates, while treatment options remain mostly symptomatic. The renin-angiotensin system (RAS) plays an important role in lung tissue, regulating pulmonary circulation and blood pressure, but also contributing to normal pulmonary function and development. Angiotensin-converting enzyme (ACE) and its homologous angiotensin-converting enzyme 2 (ACE2) are considered to be amongst the main RAS regulators and are highly expressed in the pulmonary vascular endothelium. This review discusses the impact of ACE and ACE2 functional gene polymorphisms on seven major pulmonary diseases, in terms of predisposition, course, and outcome, revealing their potential utility as both genetic markers and biomarkers. The discussed conditions include chronic obstructive pulmonary disease (COPD), pulmonary hypertension (PH), asthma, acute lung injury (ALI), acute respiratory distress syndrome (ARDS), lung cancer and pulmonary sarcoidosis (PS), as well as SARS-CoV-2 viral infection and COVID-19 disease.","author":[{"dropping-particle":"","family":"Gintoni","given":"Iphigenia","non-dropping-particle":"","parse-names":false,"suffix":""},{"dropping-particle":"","family":"Adamopoulou","given":"Maria","non-dropping-particle":"","parse-names":false,"suffix":""},{"dropping-particle":"","family":"Yapijakis","given":"Christos","non-dropping-particle":"","parse-names":false,"suffix":""}],"container-title":"In Vivo","id":"ITEM-2","issue":"1","issued":{"date-parts":[["2022"]]},"page":"13-29","title":"The Impact of ACE and ACE2 Gene Polymorphisms in Pulmonary Diseases including COVID-19","type":"article-journal","volume":"36"},"uris":["http://www.mendeley.com/documents/?uuid=3eccae74-2c7c-4749-a8df-29ad60ae8578"]},{"id":"ITEM-3","itemData":{"DOI":"10.1111/resp.14142","ISSN":"14401843","PMID":"34490723","abstract":"Despite the growing body of evidence on lung function trajectories over the life course and their risk factors, the literature has not been systematically synthesized. Publications related to lung function trajectories were identified from PubMed, EMBASE and CINAHL databases. Two authors independently identified publications for inclusion according to predefined selection criteria. Studies that modelled lung function trajectories and reported associated exposures were included. Meta-analyses could not be conducted due to heterogeneity in the exposures and methods used to model lung function trajectories. Nine publications were eligible for inclusion of which four used group-based trajectory modelling to model lung function trajectories, while five used latent profile analysis. Studies with repeated lung function measurements over the life course identified more trajectories than others. Only one study spanning from childhood to middle age reported catch-up trajectory. The following childhood risk factors for subnormal lung function trajectories were observed in at least across two studies: low birth weight, early wheezing, asthma, allergic sensitization, eczema, allergic rhinitis, lower respiratory tract infections, family history of asthma and second-hand smoke exposure. Adult active asthma and personal cigarette smoking were observed to be associated with accelerated decline lung trajectories. Our review identified 10 risk factors associated with the growth, catch-up, reduced plateau and decline trajectories of lung function. Intervention directed at childhood asthma and infections, and tobacco smoke exposure at all ages would help promote lung health and prevent subnormal lung function trajectories.","author":[{"dropping-particle":"","family":"Okyere","given":"Daniel O.","non-dropping-particle":"","parse-names":false,"suffix":""},{"dropping-particle":"","family":"Bui","given":"Dinh S.","non-dropping-particle":"","parse-names":false,"suffix":""},{"dropping-particle":"","family":"Washko","given":"George R.","non-dropping-particle":"","parse-names":false,"suffix":""},{"dropping-particle":"","family":"Lodge","given":"Caroline J.","non-dropping-particle":"","parse-names":false,"suffix":""},{"dropping-particle":"","family":"Lowe","given":"Adrian J.","non-dropping-particle":"","parse-names":false,"suffix":""},{"dropping-particle":"","family":"Cassim","given":"Raisa","non-dropping-particle":"","parse-names":false,"suffix":""},{"dropping-particle":"","family":"Perret","given":"Jennifer L.","non-dropping-particle":"","parse-names":false,"suffix":""},{"dropping-particle":"","family":"Abramson","given":"Michael J.","non-dropping-particle":"","parse-names":false,"suffix":""},{"dropping-particle":"","family":"Walters","given":"E. Haydn","non-dropping-particle":"","parse-names":false,"suffix":""},{"dropping-particle":"","family":"Waidyatillake","given":"Nilakshi T.","non-dropping-particle":"","parse-names":false,"suffix":""},{"dropping-particle":"","family":"Dharmage","given":"Shyamali C.","non-dropping-particle":"","parse-names":false,"suffix":""}],"container-title":"Respirology","id":"ITEM-3","issue":"10","issued":{"date-parts":[["2021"]]},"page":"938-959","title":"Predictors of lung function trajectories in population-based studies: A systematic review","type":"article-journal","volume":"26"},"uris":["http://www.mendeley.com/documents/?uuid=e157f4bf-b4f8-4998-902f-aa48f4ef0cf7"]},{"id":"ITEM-4","itemData":{"author":[{"dropping-particle":"","family":"Demeo","given":"Dawn L","non-dropping-particle":"","parse-names":false,"suffix":""}],"id":"ITEM-4","issued":{"date-parts":[["2025"]]},"page":"471-490","title":"Sex , Gender , and COPD","type":"article-journal"},"uris":["http://www.mendeley.com/documents/?uuid=09240436-8133-4a01-97b9-09d8256e5b14"]}],"mendeley":{"formattedCitation":"(6–9)","plainTextFormattedCitation":"(6–9)","previouslyFormattedCitation":"(6–9)"},"properties":{"noteIndex":0},"schema":"https://github.com/citation-style-language/schema/raw/master/csl-citation.json"}</w:instrText>
      </w:r>
      <w:r w:rsidRPr="003314B7">
        <w:rPr>
          <w:rFonts w:asciiTheme="majorBidi" w:hAnsiTheme="majorBidi" w:cstheme="majorBidi"/>
          <w:lang w:val="en-US"/>
        </w:rPr>
        <w:fldChar w:fldCharType="separate"/>
      </w:r>
      <w:r w:rsidR="00E153AA" w:rsidRPr="003314B7">
        <w:rPr>
          <w:rFonts w:asciiTheme="majorBidi" w:hAnsiTheme="majorBidi" w:cstheme="majorBidi"/>
          <w:noProof/>
          <w:lang w:val="en-US"/>
        </w:rPr>
        <w:t>(6–9)</w:t>
      </w:r>
      <w:r w:rsidRPr="003314B7">
        <w:rPr>
          <w:rFonts w:asciiTheme="majorBidi" w:hAnsiTheme="majorBidi" w:cstheme="majorBidi"/>
          <w:lang w:val="en-US"/>
        </w:rPr>
        <w:fldChar w:fldCharType="end"/>
      </w:r>
      <w:r w:rsidR="00D945D0">
        <w:rPr>
          <w:rFonts w:asciiTheme="majorBidi" w:hAnsiTheme="majorBidi" w:cstheme="majorBidi"/>
          <w:lang w:val="en-US"/>
        </w:rPr>
        <w:t>.</w:t>
      </w:r>
      <w:r w:rsidRPr="003314B7">
        <w:rPr>
          <w:rFonts w:asciiTheme="majorBidi" w:hAnsiTheme="majorBidi" w:cstheme="majorBidi"/>
          <w:color w:val="1C1C1C"/>
          <w:shd w:val="clear" w:color="auto" w:fill="FFFFFF"/>
          <w:lang w:val="en-US"/>
        </w:rPr>
        <w:t xml:space="preserve"> Numerous previous studies have examined the connection between the gene polymorphism related to ACE and COPD, yet the findings have been inconsistent</w:t>
      </w:r>
      <w:r w:rsidR="00D945D0">
        <w:rPr>
          <w:rFonts w:asciiTheme="majorBidi" w:hAnsiTheme="majorBidi" w:cstheme="majorBidi"/>
          <w:color w:val="1C1C1C"/>
          <w:shd w:val="clear" w:color="auto" w:fill="FFFFFF"/>
          <w:lang w:val="en-US"/>
        </w:rPr>
        <w:t xml:space="preserve"> </w:t>
      </w:r>
      <w:r w:rsidRPr="003314B7">
        <w:rPr>
          <w:rFonts w:asciiTheme="majorBidi" w:hAnsiTheme="majorBidi" w:cstheme="majorBidi"/>
          <w:color w:val="1C1C1C"/>
          <w:shd w:val="clear" w:color="auto" w:fill="FFFFFF"/>
          <w:lang w:val="en-US"/>
        </w:rPr>
        <w:fldChar w:fldCharType="begin" w:fldLock="1"/>
      </w:r>
      <w:r w:rsidR="00382513" w:rsidRPr="003314B7">
        <w:rPr>
          <w:rFonts w:asciiTheme="majorBidi" w:hAnsiTheme="majorBidi" w:cstheme="majorBidi"/>
          <w:color w:val="1C1C1C"/>
          <w:shd w:val="clear" w:color="auto" w:fill="FFFFFF"/>
          <w:lang w:val="en-US"/>
        </w:rPr>
        <w:instrText>ADDIN CSL_CITATION {"citationItems":[{"id":"ITEM-1","itemData":{"DOI":"10.22099/mbrc.2019.34904.1438","author":[{"dropping-particle":"","family":"Kirtipal","given":"Nikhil","non-dropping-particle":"","parse-names":false,"suffix":""},{"dropping-particle":"","family":"Thakur","given":"Hitender","non-dropping-particle":"","parse-names":false,"suffix":""},{"dropping-particle":"","family":"Sobti","given":"Ranbir Chander","non-dropping-particle":"","parse-names":false,"suffix":""}],"id":"ITEM-1","issue":"4","issued":{"date-parts":[["2019"]]},"page":"167-170","title":"MBRC Insertion / deletion polymorphism of angiotensin-converting enzyme and chronic obstructive pulmonary disease : A case- control study on north Indian population","type":"article-journal","volume":"8"},"uris":["http://www.mendeley.com/documents/?uuid=cdd0f2b1-a911-4911-91c7-5d318bbc963f"]},{"id":"ITEM-2","itemData":{"DOI":"10.5114/aoms.2015.50757","ISSN":"18969151","abstract":"Introduction: Chronic obstructive pulmonary disease (COPD) affects more than 10% of the world's population over 40 years of age. The main exogenous risk factor is cigarette smoking; however, only 20% of smokers develop COPD, indicating that some other factors, e.g. genetic, may play an important role in the disease pathogenesis. Recent research indicates that ACE (angiotensin-converting enzyme) may be a susceptibility gene for asthma or COPD. The aim of our study was to determine the influence of I/D (insertion/deletion) polymorphism of the ACE gene (AluYa5, rs4646994) on the risk and course of COPD. Material and methods: We investigated ACE I/D polymorphism in 206 COPD and 165 healthy Caucasian subjects. Results: In the generalized linear model (GLZ) analysis of the influence of selected factors on presence of COPD we found a significant independent effect for male sex (repeatedly increases the risk of COPD, OR = 7.7, p = 0.049), as well as smoking or lower body mass index, but only in combination with older age (OR = 0.96, p = 0.003 and OR = 1.005, p = 0.04 respectively). Interestingly, analysis of factors which may influence the risk of a higher number of exacerbations demonstrated that occurrence of DD genotype, but only in men, is associated with a lower risk (OR = 0.7, p = 0.03) of this complication. Conclusions: We suggest that ACE may not be a susceptibility gene for the origin of COPD but a disease-modifying gene. Since the impact of I/D polymorphism of the ACE gene on COPD risk is moderate or negligible, other molecular changes, that will help predict the development of this disease, should still be sought.","author":[{"dropping-particle":"","family":"Mlak","given":"Radoslaw","non-dropping-particle":"","parse-names":false,"suffix":""},{"dropping-particle":"","family":"Homa-Mlak","given":"Iwona","non-dropping-particle":"","parse-names":false,"suffix":""},{"dropping-particle":"","family":"Powrózek","given":"Tomasz","non-dropping-particle":"","parse-names":false,"suffix":""},{"dropping-particle":"","family":"Mackiewicz","given":"Barbara","non-dropping-particle":"","parse-names":false,"suffix":""},{"dropping-particle":"","family":"Michnar","given":"Marek","non-dropping-particle":"","parse-names":false,"suffix":""},{"dropping-particle":"","family":"Krawczyk","given":"Pawel","non-dropping-particle":"","parse-names":false,"suffix":""},{"dropping-particle":"","family":"Dziedzic","given":"Marcin","non-dropping-particle":"","parse-names":false,"suffix":""},{"dropping-particle":"","family":"Rubinsztajn","given":"Renata","non-dropping-particle":"","parse-names":false,"suffix":""},{"dropping-particle":"","family":"Chazan","given":"Ryszarda","non-dropping-particle":"","parse-names":false,"suffix":""},{"dropping-particle":"","family":"Milanowski","given":"Janusz","non-dropping-particle":"","parse-names":false,"suffix":""},{"dropping-particle":"","family":"Malecka-Massalska","given":"Teresa","non-dropping-particle":"","parse-names":false,"suffix":""}],"container-title":"Archives of Medical Science","id":"ITEM-2","issue":"2","issued":{"date-parts":[["2016"]]},"page":"279-287","title":"Impact of I/D polymorphism of ACE gene on risk of development and course of chronic obstructive pulmonary disease","type":"article-journal","volume":"12"},"uris":["http://www.mendeley.com/documents/?uuid=39fdb7c7-fb65-480f-ae3f-15e3314f28ff"]},{"id":"ITEM-3","itemData":{"DOI":"10.2478/pneum-2019-0019","ISSN":"2247059X","abstract":"Background: Cardiovascular diseases (CVDs) are common in people with chronic obstructive pulmonary disease (COPD), and their presence is associated with an increased risk for hospitalization, longer length of stay and all-cause and CVD-related mortality. We assessed the role of angiotensin-converting enzyme (ACE) gene polymorphism in the occurrence of arterial hypertension (AH) in patients with COPD. Methods: The study group consisted of 96 patients. Group 1 had 25 individuals with COPD, Group 2 had 23 individuals with AH and Group 3 had 28 individuals with COPD and AH. The control group consisted of 20 healthy subjects. I/D genotypes of ACE were determined by polymerase chain reaction amplification. Results: The frequency distribution of polymorphic genotypes of the gene encoding ACE and assessment of compliance with the Hardy-Weinberg population equilibrium were carried out in groups of patients with COPD, AH and COPD + AH combination. The frequencies of the genotype responsible for I/D polymorphism of the ACE gene in the control and experimental groups were not found to deviate significantly from the Hardy-Weinberg equilibrium. The results of the study have not demonstrated any significant impact of alleles of ACE genes or ACE genes on occurrence of diseases such as COPD, AH and combinations thereof. However, analysis of odds ratio has demonstrated that the presence of the D allele of the ACE gene may increase the risk for occurrence of the COPD + AH (OR = 1.26). Conclusion: The data obtained in the study allow suggesting that the presence of D allele of the ACE gene may increase the risk for AH in patients with COPD.","author":[{"dropping-particle":"","family":"Marushchak","given":"Mariya","non-dropping-particle":"","parse-names":false,"suffix":""},{"dropping-particle":"","family":"Maksiv","given":"Khrystyna","non-dropping-particle":"","parse-names":false,"suffix":""},{"dropping-particle":"","family":"Krynytska","given":"Inna","non-dropping-particle":"","parse-names":false,"suffix":""}],"container-title":"Pneumologia","id":"ITEM-3","issue":"3","issued":{"date-parts":[["2019"]]},"page":"114-119","title":"ACE gene I/D polymorphism and arterial hypertension in patients with COPD","type":"article-journal","volume":"68"},"uris":["http://www.mendeley.com/documents/?uuid=2c71412d-8ce2-44f4-9086-55f2e5319757"]}],"mendeley":{"formattedCitation":"(10–12)","plainTextFormattedCitation":"(10–12)","previouslyFormattedCitation":"(10–12)"},"properties":{"noteIndex":0},"schema":"https://github.com/citation-style-language/schema/raw/master/csl-citation.json"}</w:instrText>
      </w:r>
      <w:r w:rsidRPr="003314B7">
        <w:rPr>
          <w:rFonts w:asciiTheme="majorBidi" w:hAnsiTheme="majorBidi" w:cstheme="majorBidi"/>
          <w:color w:val="1C1C1C"/>
          <w:shd w:val="clear" w:color="auto" w:fill="FFFFFF"/>
          <w:lang w:val="en-US"/>
        </w:rPr>
        <w:fldChar w:fldCharType="separate"/>
      </w:r>
      <w:r w:rsidR="00E153AA" w:rsidRPr="003314B7">
        <w:rPr>
          <w:rFonts w:asciiTheme="majorBidi" w:hAnsiTheme="majorBidi" w:cstheme="majorBidi"/>
          <w:noProof/>
          <w:color w:val="1C1C1C"/>
          <w:shd w:val="clear" w:color="auto" w:fill="FFFFFF"/>
          <w:lang w:val="en-US"/>
        </w:rPr>
        <w:t>(10–12)</w:t>
      </w:r>
      <w:r w:rsidRPr="003314B7">
        <w:rPr>
          <w:rFonts w:asciiTheme="majorBidi" w:hAnsiTheme="majorBidi" w:cstheme="majorBidi"/>
          <w:color w:val="1C1C1C"/>
          <w:shd w:val="clear" w:color="auto" w:fill="FFFFFF"/>
          <w:lang w:val="en-US"/>
        </w:rPr>
        <w:fldChar w:fldCharType="end"/>
      </w:r>
      <w:r w:rsidRPr="003314B7">
        <w:rPr>
          <w:rFonts w:asciiTheme="majorBidi" w:hAnsiTheme="majorBidi" w:cstheme="majorBidi"/>
          <w:color w:val="1C1C1C"/>
          <w:shd w:val="clear" w:color="auto" w:fill="FFFFFF"/>
          <w:lang w:val="en-US"/>
        </w:rPr>
        <w:t>. Both conditions, COPD and HTN,</w:t>
      </w:r>
      <w:r w:rsidRPr="003314B7">
        <w:rPr>
          <w:rFonts w:asciiTheme="majorBidi" w:hAnsiTheme="majorBidi" w:cstheme="majorBidi"/>
          <w:lang w:val="en-US"/>
        </w:rPr>
        <w:t xml:space="preserve"> highlight the influence of genetic factors and their interactions.</w:t>
      </w:r>
      <w:r w:rsidR="0089221F">
        <w:rPr>
          <w:rFonts w:asciiTheme="majorBidi" w:hAnsiTheme="majorBidi" w:cstheme="majorBidi"/>
          <w:lang w:val="en-US"/>
        </w:rPr>
        <w:t xml:space="preserve"> </w:t>
      </w:r>
      <w:r w:rsidR="0089221F" w:rsidRPr="003314B7">
        <w:rPr>
          <w:rStyle w:val="oxzekf"/>
          <w:rFonts w:asciiTheme="majorBidi" w:hAnsiTheme="majorBidi" w:cstheme="majorBidi"/>
          <w:color w:val="001D35"/>
          <w:shd w:val="clear" w:color="auto" w:fill="FFFFFF"/>
          <w:lang w:val="en-US"/>
        </w:rPr>
        <w:fldChar w:fldCharType="begin" w:fldLock="1"/>
      </w:r>
      <w:r w:rsidR="0089221F" w:rsidRPr="003314B7">
        <w:rPr>
          <w:rStyle w:val="oxzekf"/>
          <w:rFonts w:asciiTheme="majorBidi" w:hAnsiTheme="majorBidi" w:cstheme="majorBidi"/>
          <w:color w:val="001D35"/>
          <w:shd w:val="clear" w:color="auto" w:fill="FFFFFF"/>
          <w:lang w:val="en-US"/>
        </w:rPr>
        <w:instrText>ADDIN CSL_CITATION {"citationItems":[{"id":"ITEM-1","itemData":{"DOI":"10.1371/journal.pone.0037396","ISSN":"19326203","PMID":"22723835","abstract":"Objective: An insertion/deletion (I/D) variant in the angiotensin-converting enzyme (ACE) gene was associated with ACE inhibitor (ACEI)-related cough in previous studies. However, the results were inconsistent. Our objective was to assess the relationship between the ACE I/D polymorphism and ACEI-related cough by meta-analysis and to summarize all studies that are related to ACE I/D polymorphism and ACEI-cough and make a summary conclusion to provide reference for the researchers who attempt to conduct such a study. Methods: Databases including PubMed, EMbase, Cochrane Library, and China National Knowledge Infrastructure, were searched for genetic association studies. Data were extracted by two independent authors and pooled odds ratio (OR) with 95% confidence interval (CI) was calculated. Metaregression and subgroup analyses were performed to identify the source of heterogeneity. Results: Eleven trials, including 906 cases (ACEI-related cough) and 1,175 controls, were reviewed in the present meta-analysis. The random effects pooled OR was 1.16 (95%CI: 0.78-1.74, p = 0.46) in the dominant model and 1.61 (95%CI: 1.18-2.20, p = 0.003) in the recessive model. Heterogeneity was found among and within studies. Metaregression indicated that the effect size was positively associated with age and negatively associated with follow-up duration of ACEI treatment. Subgroup analysis revealed a significant association between ACE I/D polymorphism and ACEI-related cough in studies with mean age &gt;60 y, but not in studies with mean age ≤60 y. No heterogeneity was found within each mean age subgroup. We also found no association between ACE I/D polymorphism and ACEI-related cough in studies with follow-up&gt;2 mo or in studies in Caucasians. No heterogeneity was detected in these two subgroups. Conclusions: Synthesis of the available evidence supports ACE I/D polymorphism as an age-dependent predictor for risk of ACEI-related cough. © 2012 Li et al.","author":[{"dropping-particle":"","family":"Li","given":"Ya Feng","non-dropping-particle":"","parse-names":false,"suffix":""},{"dropping-particle":"","family":"Zhu","given":"Xiao Ming","non-dropping-particle":"","parse-names":false,"suffix":""},{"dropping-particle":"","family":"Liu","given":"Fan","non-dropping-particle":"","parse-names":false,"suffix":""},{"dropping-particle":"","family":"Xiao","given":"Chuan Shi","non-dropping-particle":"","parse-names":false,"suffix":""},{"dropping-particle":"","family":"Bian","given":"Yun Fei","non-dropping-particle":"","parse-names":false,"suffix":""},{"dropping-particle":"","family":"Li","given":"Hong","non-dropping-particle":"","parse-names":false,"suffix":""},{"dropping-particle":"","family":"Cai","given":"Jun","non-dropping-particle":"","parse-names":false,"suffix":""},{"dropping-particle":"","family":"Li","given":"Rong Shan","non-dropping-particle":"","parse-names":false,"suffix":""},{"dropping-particle":"","family":"Yang","given":"Xin Chun","non-dropping-particle":"","parse-names":false,"suffix":""}],"container-title":"PLoS ONE","id":"ITEM-1","issue":"6","issued":{"date-parts":[["2012"]]},"title":"Angiotensin-converting enzyme (ACE) gene insertion/deletion polymorphism and ACE inhibitor-related cough: A meta-analysis","type":"article-journal","volume":"7"},"uris":["http://www.mendeley.com/documents/?uuid=db208ec1-aa22-41ed-9818-5fc66fcc7e44"]},{"id":"ITEM-2","itemData":{"DOI":"10.2147/COPD.S168772","ISSN":"11782005","PMID":"30147309","abstract":"Purpose: Angiotensin-converting enzyme (ACE) gene I/D polymorphism has been studied in relation to the susceptibility to COPD and COPD with pulmonary hypertension (PH) with inconclusive results. We performed the first comprehensive meta-analysis to evaluate accurately the association between the ACE gene polymorphism and the risk of COPD. Methods: Data were analyzed using odds ratios (ORs) and the corresponding 95% CIs to measure the strength of the models. Subgroup analyses were conducted by ethnicity and complication which referred to PH. Results: In total, 15 studies (2,635 participants) were included in our study, of which four studies (288 participants) were for PH subgroup. The overall analysis results indicated that the ACE gene polymorphism was not associated with COPD susceptibility in all gene models. However, the ethnic subgroup analysis results indicated that ACE gene polymorphism was associated with Asians’ susceptibility to COPD (DD+DI vs II, OR=1.47, P=0.019, 95% CI: 1.07–2.02). Further, the overall results of the present study detected no statistical significance between ACE gene polymorphism and the risk of COPD with PH, but the homozygote variant (DD) increased the risk of PH in Asian COPD patients (DD vs ID+II, OR=2.05, P=0.05, 95% CI: 1.00–4.19). Conclusion: The current study suggests that ACE polymorphism, particularly the homozygote variant (DD), might contribute to the risk of COPD and COPD with PH among Asians. Further studies with larger sample size and more ethnicities are expected to be conducted in the future to validate the results.","author":[{"dropping-particle":"","family":"Ma","given":"Yao","non-dropping-particle":"","parse-names":false,"suffix":""},{"dropping-particle":"","family":"Tong","given":"Xiang","non-dropping-particle":"","parse-names":false,"suffix":""},{"dropping-particle":"","family":"Liu","given":"Ying","non-dropping-particle":"","parse-names":false,"suffix":""},{"dropping-particle":"","family":"Liu","given":"Sitong","non-dropping-particle":"","parse-names":false,"suffix":""},{"dropping-particle":"","family":"Xiong","given":"Hai","non-dropping-particle":"","parse-names":false,"suffix":""},{"dropping-particle":"","family":"Fan","given":"Hong","non-dropping-particle":"","parse-names":false,"suffix":""}],"container-title":"International Journal of COPD","id":"ITEM-2","issued":{"date-parts":[["2018"]]},"page":"2435-2446","title":"ACE gene polymorphism is associated with COPD and COPD with pulmonary hypertension: A meta-analysis","type":"article-journal","volume":"13"},"uris":["http://www.mendeley.com/documents/?uuid=e1029a41-4426-4fbf-9e45-d075025c8411"]},{"id":"ITEM-3","itemData":{"DOI":"10.1159/000381684","ISSN":"2235-8676","abstract":"Chronic obstructive pulmonary disease (COPD) patients are at a high risk of developing cardiovascular diseases. Airflow limitation is a predictor of future risks of hypertension and cardiovascular events. COPD is now understood as a systemic inflammatory disease, with the focus on inflammation of the lungs. An association between inflammation and sympathetic overactivity has also been reported. In this article, we review the association between chronic lung disease and the risks of hypertension, cardiovascular morbidity, the underlying mechanisms, and the therapeutic approach to hypertension and cardiovascular diseases in patients with lung diseases.","author":[{"dropping-particle":"","family":"Imaizumi","given":"Yuki","non-dropping-particle":"","parse-names":false,"suffix":""},{"dropping-particle":"","family":"Eguchi","given":"Kazuo","non-dropping-particle":"","parse-names":false,"suffix":""},{"dropping-particle":"","family":"Kario","given":"Kazuomi","non-dropping-particle":"","parse-names":false,"suffix":""}],"container-title":"Pulse","id":"ITEM-3","issue":"1-4","issued":{"date-parts":[["2014"]]},"page":"103-112","title":"Lung Disease and Hypertension","type":"article-journal","volume":"2"},"uris":["http://www.mendeley.com/documents/?uuid=2722176f-fbf3-4e0e-aa25-9bf1a2064e62"]},{"id":"ITEM-4","itemData":{"DOI":"10.1016/j.heliyon.2024.e29988","ISSN":"24058440","abstract":"The angiotensin-converting enzyme (ACE) gene (ACE) insertion/deletion (I/D) polymorphism raises the possibility of personalising ACE inhibitor therapy to optimise its efficiency and reduce side effects in genetically distinct subgroups. However, the extent of its influence among these subgroups is unknown. Therefore, we extended our computational model of blood pressure regulation to investigate the effect of the ACE I/D polymorphism on haemodynamic parameters in humans undergoing antihypertensive therapy. The model showed that the dependence of blood pressure on serum ACE activity is a function of saturation and therefore, the lack of association between ACE I/D and blood pressure levels may be due to high ACE activity in specific populations. Additionally, in an extended model simulating the effects of different classes of antihypertensive drugs, we explored the relationship between ACE I/D and the efficacy of inhibitors of the renin–angiotensin–aldosterone system. The model predicted that the response of cardiovascular and renal parameters to treatment directly depends on ACE activity. However, significant differences in parameter changes were observed only between groups with high and low ACE levels, while different ACE I/D genotypes within the same group had similar changes in absolute values. We conclude that a single genetic variant is responsible for only a small fraction of heredity in treatment success and its predictive value is limited.","author":[{"dropping-particle":"","family":"Kutumova","given":"Elena","non-dropping-particle":"","parse-names":false,"suffix":""},{"dropping-particle":"","family":"Kovaleva","given":"Anna","non-dropping-particle":"","parse-names":false,"suffix":""},{"dropping-particle":"","family":"Sharipov","given":"Ruslan","non-dropping-particle":"","parse-names":false,"suffix":""},{"dropping-particle":"","family":"Lifshits","given":"Galina","non-dropping-particle":"","parse-names":false,"suffix":""},{"dropping-particle":"","family":"Kolpakov","given":"Fedor","non-dropping-particle":"","parse-names":false,"suffix":""}],"container-title":"Heliyon","id":"ITEM-4","issue":"9","issued":{"date-parts":[["2024"]]},"page":"e29988","publisher":"Elsevier Ltd","title":"Mathematical modelling of the influence of ACE I/D polymorphism on blood pressure and antihypertensive therapy","type":"article-journal","volume":"10"},"uris":["http://www.mendeley.com/documents/?uuid=d664c6ce-9dc0-4bad-9fd4-ca307dac558b"]},{"id":"ITEM-5","itemData":{"DOI":"10.1136/bmjresp-2016-000165","ISSN":"20524439","abstract":"Introduction: Skeletal muscle impairment is an important feature of chronic obstructive pulmonary disease (COPD). Renin-angiotensin system activity influences muscle phenotype, so we wished to investigate whether it affects the response to pulmonary rehabilitation. Methods: Two studies are described; in the first, the response of 168 COPD patients (mean forced expiratory volume in one second 51.9% predicted) to pulmonary rehabilitation was compared between different ACE insertion/deletion polymorphism genotypes. In a second, independent COPD cohort (n=373), baseline characteristics and response to pulmonary rehabilitation were compared between COPD patients who were or were not taking ACE inhibitors or angiotensin receptor antagonists (ARB). Results: In study 1, the incremental shuttle walk distance improved to a similar extent in all three genotypes; DD/ID/II (n=48/91/29) 69(67)m, 61 (76)m and 78 (78)m, respectively, ( p &gt;0.05). In study 2, fat free mass index was higher in those on ACE-I/ARB (n=130) than those who were not (n=243), 17.8 (16.0, 19.8) kg m-2 vs 16.5 (14.9, 18.4) kg/m2 ( p &lt;0.001). However change in fat free mass, walking distance or quality of life in response to pulmonary rehabilitation did not differ between groups. Conclusions: While these data support a positive association of ACE-I/ARB treatment and body composition in COPD, neither treatment to reduce ACE activity nor ACE (I/D) genotype influence response to pulmonary rehabilitation.","author":[{"dropping-particle":"","family":"Kon","given":"Samantha S.C.","non-dropping-particle":"","parse-names":false,"suffix":""},{"dropping-particle":"","family":"Jolley","given":"Caroline J.","non-dropping-particle":"","parse-names":false,"suffix":""},{"dropping-particle":"","family":"Shrikrishna","given":"Dinesh","non-dropping-particle":"","parse-names":false,"suffix":""},{"dropping-particle":"","family":"Montgomery","given":"Hugh E.","non-dropping-particle":"","parse-names":false,"suffix":""},{"dropping-particle":"","family":"Skipworth","given":"James R.A.","non-dropping-particle":"","parse-names":false,"suffix":""},{"dropping-particle":"","family":"Puthucheary","given":"Zudin","non-dropping-particle":"","parse-names":false,"suffix":""},{"dropping-particle":"","family":"Moxham","given":"John","non-dropping-particle":"","parse-names":false,"suffix":""},{"dropping-particle":"","family":"Polkey","given":"Michael I.","non-dropping-particle":"","parse-names":false,"suffix":""},{"dropping-particle":"","family":"Man","given":"William D.C.","non-dropping-particle":"","parse-names":false,"suffix":""},{"dropping-particle":"","family":"Hopkinson","given":"Nicholas S.","non-dropping-particle":"","parse-names":false,"suffix":""}],"container-title":"BMJ Open Respiratory Research","id":"ITEM-5","issue":"1","issued":{"date-parts":[["2017"]]},"page":"1-6","title":"ACE and response to pulmonary rehabilitation in COPD: Two observational studies","type":"article-journal","volume":"4"},"uris":["http://www.mendeley.com/documents/?uuid=d9369edb-fc88-470d-90f3-d7170f405219"]}],"mendeley":{"formattedCitation":"(13–17)","plainTextFormattedCitation":"(13–17)","previouslyFormattedCitation":"(13–17)"},"properties":{"noteIndex":0},"schema":"https://github.com/citation-style-language/schema/raw/master/csl-citation.json"}</w:instrText>
      </w:r>
      <w:r w:rsidR="0089221F" w:rsidRPr="003314B7">
        <w:rPr>
          <w:rStyle w:val="oxzekf"/>
          <w:rFonts w:asciiTheme="majorBidi" w:hAnsiTheme="majorBidi" w:cstheme="majorBidi"/>
          <w:color w:val="001D35"/>
          <w:shd w:val="clear" w:color="auto" w:fill="FFFFFF"/>
          <w:lang w:val="en-US"/>
        </w:rPr>
        <w:fldChar w:fldCharType="separate"/>
      </w:r>
      <w:r w:rsidR="0089221F" w:rsidRPr="003314B7">
        <w:rPr>
          <w:rStyle w:val="oxzekf"/>
          <w:rFonts w:asciiTheme="majorBidi" w:hAnsiTheme="majorBidi" w:cstheme="majorBidi"/>
          <w:noProof/>
          <w:color w:val="001D35"/>
          <w:shd w:val="clear" w:color="auto" w:fill="FFFFFF"/>
          <w:lang w:val="en-US"/>
        </w:rPr>
        <w:t>(13–17)</w:t>
      </w:r>
      <w:r w:rsidR="0089221F" w:rsidRPr="003314B7">
        <w:rPr>
          <w:rStyle w:val="oxzekf"/>
          <w:rFonts w:asciiTheme="majorBidi" w:hAnsiTheme="majorBidi" w:cstheme="majorBidi"/>
          <w:color w:val="001D35"/>
          <w:shd w:val="clear" w:color="auto" w:fill="FFFFFF"/>
          <w:lang w:val="en-US"/>
        </w:rPr>
        <w:fldChar w:fldCharType="end"/>
      </w:r>
      <w:r w:rsidR="0089221F">
        <w:rPr>
          <w:rStyle w:val="oxzekf"/>
          <w:rFonts w:asciiTheme="majorBidi" w:hAnsiTheme="majorBidi" w:cstheme="majorBidi"/>
          <w:color w:val="001D35"/>
          <w:shd w:val="clear" w:color="auto" w:fill="FFFFFF"/>
          <w:lang w:val="en-US"/>
        </w:rPr>
        <w:t>.</w:t>
      </w:r>
    </w:p>
    <w:p w14:paraId="0784A924" w14:textId="77777777" w:rsidR="0089221F" w:rsidRDefault="001C40FD" w:rsidP="0089221F">
      <w:pPr>
        <w:spacing w:line="360" w:lineRule="auto"/>
        <w:jc w:val="both"/>
        <w:rPr>
          <w:rFonts w:asciiTheme="majorBidi" w:hAnsiTheme="majorBidi" w:cstheme="majorBidi"/>
          <w:lang w:val="en-US"/>
        </w:rPr>
      </w:pPr>
      <w:r w:rsidRPr="003314B7">
        <w:rPr>
          <w:rFonts w:asciiTheme="majorBidi" w:hAnsiTheme="majorBidi" w:cstheme="majorBidi"/>
          <w:lang w:val="en-US"/>
        </w:rPr>
        <w:t xml:space="preserve"> The ACE </w:t>
      </w:r>
      <w:r w:rsidR="00D375E8" w:rsidRPr="003314B7">
        <w:rPr>
          <w:rFonts w:asciiTheme="majorBidi" w:hAnsiTheme="majorBidi" w:cstheme="majorBidi"/>
          <w:lang w:val="en-US"/>
        </w:rPr>
        <w:t>gene</w:t>
      </w:r>
      <w:r w:rsidRPr="003314B7">
        <w:rPr>
          <w:rFonts w:asciiTheme="majorBidi" w:hAnsiTheme="majorBidi" w:cstheme="majorBidi"/>
          <w:lang w:val="en-US"/>
        </w:rPr>
        <w:t xml:space="preserve"> polymorphism</w:t>
      </w:r>
      <w:r w:rsidR="00D44A4F" w:rsidRPr="003314B7">
        <w:rPr>
          <w:rFonts w:asciiTheme="majorBidi" w:hAnsiTheme="majorBidi" w:cstheme="majorBidi"/>
          <w:lang w:val="en-US"/>
        </w:rPr>
        <w:t xml:space="preserve"> (I/D)</w:t>
      </w:r>
      <w:r w:rsidRPr="003314B7">
        <w:rPr>
          <w:rFonts w:asciiTheme="majorBidi" w:hAnsiTheme="majorBidi" w:cstheme="majorBidi"/>
          <w:lang w:val="en-US"/>
        </w:rPr>
        <w:t xml:space="preserve"> affects the risk of developing both conditions, with the D allele potentially increasing the risk in some ethnic groups. However, results vary and lack a consistent consensus, especially across different populations, underscoring the need for further research intervention</w:t>
      </w:r>
      <w:r w:rsidR="0089221F">
        <w:rPr>
          <w:rFonts w:asciiTheme="majorBidi" w:hAnsiTheme="majorBidi" w:cstheme="majorBidi"/>
          <w:lang w:val="en-US"/>
        </w:rPr>
        <w:t>.</w:t>
      </w:r>
    </w:p>
    <w:p w14:paraId="25286937" w14:textId="09BE8D35" w:rsidR="001C40FD" w:rsidRPr="003314B7" w:rsidRDefault="001C40FD" w:rsidP="0089221F">
      <w:pPr>
        <w:spacing w:line="360" w:lineRule="auto"/>
        <w:jc w:val="both"/>
        <w:rPr>
          <w:rFonts w:asciiTheme="majorBidi" w:hAnsiTheme="majorBidi" w:cstheme="majorBidi"/>
          <w:color w:val="1C1C1C"/>
          <w:shd w:val="clear" w:color="auto" w:fill="FFFFFF"/>
          <w:lang w:val="en-US"/>
        </w:rPr>
      </w:pPr>
      <w:r w:rsidRPr="003314B7">
        <w:rPr>
          <w:rFonts w:asciiTheme="majorBidi" w:hAnsiTheme="majorBidi" w:cstheme="majorBidi"/>
          <w:color w:val="1C1C1C"/>
          <w:shd w:val="clear" w:color="auto" w:fill="FFFFFF"/>
          <w:lang w:val="en-US"/>
        </w:rPr>
        <w:t xml:space="preserve"> </w:t>
      </w:r>
      <w:r w:rsidRPr="003314B7">
        <w:rPr>
          <w:rFonts w:asciiTheme="majorBidi" w:hAnsiTheme="majorBidi" w:cstheme="majorBidi"/>
          <w:b/>
          <w:bCs/>
          <w:lang w:val="en-US"/>
        </w:rPr>
        <w:t>Material</w:t>
      </w:r>
      <w:r w:rsidR="0089221F">
        <w:rPr>
          <w:rFonts w:asciiTheme="majorBidi" w:hAnsiTheme="majorBidi" w:cstheme="majorBidi"/>
          <w:b/>
          <w:bCs/>
          <w:lang w:val="en-US"/>
        </w:rPr>
        <w:t>s</w:t>
      </w:r>
      <w:r w:rsidRPr="003314B7">
        <w:rPr>
          <w:rFonts w:asciiTheme="majorBidi" w:hAnsiTheme="majorBidi" w:cstheme="majorBidi"/>
          <w:b/>
          <w:bCs/>
          <w:lang w:val="en-US"/>
        </w:rPr>
        <w:t xml:space="preserve"> </w:t>
      </w:r>
      <w:r w:rsidR="005D7BDA" w:rsidRPr="003314B7">
        <w:rPr>
          <w:rFonts w:asciiTheme="majorBidi" w:hAnsiTheme="majorBidi" w:cstheme="majorBidi"/>
          <w:b/>
          <w:bCs/>
          <w:lang w:val="en-US"/>
        </w:rPr>
        <w:t>and</w:t>
      </w:r>
      <w:r w:rsidRPr="003314B7">
        <w:rPr>
          <w:rFonts w:asciiTheme="majorBidi" w:hAnsiTheme="majorBidi" w:cstheme="majorBidi"/>
          <w:b/>
          <w:bCs/>
          <w:lang w:val="en-US"/>
        </w:rPr>
        <w:t xml:space="preserve"> Method</w:t>
      </w:r>
      <w:r w:rsidR="0089221F">
        <w:rPr>
          <w:rFonts w:asciiTheme="majorBidi" w:hAnsiTheme="majorBidi" w:cstheme="majorBidi"/>
          <w:b/>
          <w:bCs/>
          <w:lang w:val="en-US"/>
        </w:rPr>
        <w:t>s</w:t>
      </w:r>
    </w:p>
    <w:p w14:paraId="1A591689" w14:textId="10D5F9AC" w:rsidR="001C40FD" w:rsidRPr="00243B05" w:rsidRDefault="00707DFF" w:rsidP="00526592">
      <w:pPr>
        <w:spacing w:line="360" w:lineRule="auto"/>
        <w:jc w:val="both"/>
        <w:rPr>
          <w:rFonts w:ascii="Times New Roman" w:hAnsi="Times New Roman" w:cs="Times New Roman"/>
          <w:color w:val="1C1C1C"/>
        </w:rPr>
      </w:pPr>
      <w:r>
        <w:rPr>
          <w:rFonts w:asciiTheme="majorBidi" w:hAnsiTheme="majorBidi" w:cstheme="majorBidi"/>
          <w:lang w:val="en-US"/>
        </w:rPr>
        <w:t xml:space="preserve">This is a </w:t>
      </w:r>
      <w:r w:rsidR="001C40FD" w:rsidRPr="003314B7">
        <w:rPr>
          <w:rFonts w:asciiTheme="majorBidi" w:hAnsiTheme="majorBidi" w:cstheme="majorBidi"/>
          <w:lang w:val="en-US"/>
        </w:rPr>
        <w:t>case–control study involving 400 participants. The study</w:t>
      </w:r>
      <w:r w:rsidR="00B4136E" w:rsidRPr="003314B7">
        <w:rPr>
          <w:rFonts w:asciiTheme="majorBidi" w:hAnsiTheme="majorBidi" w:cstheme="majorBidi"/>
          <w:lang w:val="en-US"/>
        </w:rPr>
        <w:t xml:space="preserve"> </w:t>
      </w:r>
      <w:r w:rsidR="00953682" w:rsidRPr="003314B7">
        <w:rPr>
          <w:rFonts w:asciiTheme="majorBidi" w:hAnsiTheme="majorBidi" w:cstheme="majorBidi"/>
          <w:lang w:val="en-US"/>
        </w:rPr>
        <w:t xml:space="preserve">was </w:t>
      </w:r>
      <w:r w:rsidR="004C79F9" w:rsidRPr="003314B7">
        <w:rPr>
          <w:rFonts w:asciiTheme="majorBidi" w:hAnsiTheme="majorBidi" w:cstheme="majorBidi"/>
          <w:lang w:val="en-US"/>
        </w:rPr>
        <w:t>conducted</w:t>
      </w:r>
      <w:r w:rsidR="00953682" w:rsidRPr="003314B7">
        <w:rPr>
          <w:rFonts w:asciiTheme="majorBidi" w:hAnsiTheme="majorBidi" w:cstheme="majorBidi"/>
          <w:lang w:val="en-US"/>
        </w:rPr>
        <w:t xml:space="preserve"> in</w:t>
      </w:r>
      <w:r w:rsidR="001C40FD" w:rsidRPr="003314B7">
        <w:rPr>
          <w:rFonts w:asciiTheme="majorBidi" w:hAnsiTheme="majorBidi" w:cstheme="majorBidi"/>
          <w:lang w:val="en-US"/>
        </w:rPr>
        <w:t xml:space="preserve"> </w:t>
      </w:r>
      <w:r w:rsidR="00953682" w:rsidRPr="003314B7">
        <w:rPr>
          <w:rFonts w:asciiTheme="majorBidi" w:hAnsiTheme="majorBidi" w:cstheme="majorBidi"/>
          <w:lang w:val="en-US"/>
        </w:rPr>
        <w:t>the</w:t>
      </w:r>
      <w:r w:rsidR="00923E20" w:rsidRPr="003314B7">
        <w:rPr>
          <w:rFonts w:asciiTheme="majorBidi" w:hAnsiTheme="majorBidi" w:cstheme="majorBidi"/>
          <w:lang w:val="en-US"/>
        </w:rPr>
        <w:t xml:space="preserve"> </w:t>
      </w:r>
      <w:r w:rsidR="008713F6" w:rsidRPr="003314B7">
        <w:rPr>
          <w:rFonts w:asciiTheme="majorBidi" w:hAnsiTheme="majorBidi" w:cstheme="majorBidi"/>
          <w:lang w:val="en-US"/>
        </w:rPr>
        <w:t>“</w:t>
      </w:r>
      <w:r w:rsidR="002135E5" w:rsidRPr="003314B7">
        <w:rPr>
          <w:rFonts w:asciiTheme="majorBidi" w:hAnsiTheme="majorBidi" w:cstheme="majorBidi"/>
          <w:lang w:val="en-US"/>
        </w:rPr>
        <w:t>Department of Biochemistry</w:t>
      </w:r>
      <w:r w:rsidR="00C1189E" w:rsidRPr="003314B7">
        <w:rPr>
          <w:rFonts w:asciiTheme="majorBidi" w:hAnsiTheme="majorBidi" w:cstheme="majorBidi"/>
          <w:lang w:val="en-US"/>
        </w:rPr>
        <w:t xml:space="preserve">, </w:t>
      </w:r>
      <w:r w:rsidR="001C40FD" w:rsidRPr="003314B7">
        <w:rPr>
          <w:rFonts w:asciiTheme="majorBidi" w:hAnsiTheme="majorBidi" w:cstheme="majorBidi"/>
          <w:lang w:val="en-US"/>
        </w:rPr>
        <w:t xml:space="preserve">School of Medical Sciences and Research, </w:t>
      </w:r>
      <w:r w:rsidR="00FB378C" w:rsidRPr="003314B7">
        <w:rPr>
          <w:rFonts w:asciiTheme="majorBidi" w:hAnsiTheme="majorBidi" w:cstheme="majorBidi"/>
          <w:lang w:val="en-US"/>
        </w:rPr>
        <w:t xml:space="preserve">Sharda Hospital, </w:t>
      </w:r>
      <w:r w:rsidR="001C40FD" w:rsidRPr="003314B7">
        <w:rPr>
          <w:rFonts w:asciiTheme="majorBidi" w:hAnsiTheme="majorBidi" w:cstheme="majorBidi"/>
          <w:lang w:val="en-US"/>
        </w:rPr>
        <w:t>Greater Noida, UP,</w:t>
      </w:r>
      <w:r w:rsidR="004C79F9" w:rsidRPr="003314B7">
        <w:rPr>
          <w:rFonts w:asciiTheme="majorBidi" w:hAnsiTheme="majorBidi" w:cstheme="majorBidi"/>
          <w:lang w:val="en-US"/>
        </w:rPr>
        <w:t xml:space="preserve"> </w:t>
      </w:r>
      <w:r w:rsidR="001C40FD" w:rsidRPr="003314B7">
        <w:rPr>
          <w:rFonts w:asciiTheme="majorBidi" w:hAnsiTheme="majorBidi" w:cstheme="majorBidi"/>
          <w:lang w:val="en-US"/>
        </w:rPr>
        <w:t>India</w:t>
      </w:r>
      <w:r w:rsidR="008713F6" w:rsidRPr="003314B7">
        <w:rPr>
          <w:rFonts w:asciiTheme="majorBidi" w:hAnsiTheme="majorBidi" w:cstheme="majorBidi"/>
          <w:lang w:val="en-US"/>
        </w:rPr>
        <w:t>”</w:t>
      </w:r>
      <w:r w:rsidR="001C40FD" w:rsidRPr="003314B7">
        <w:rPr>
          <w:rFonts w:asciiTheme="majorBidi" w:hAnsiTheme="majorBidi" w:cstheme="majorBidi"/>
          <w:lang w:val="en-US"/>
        </w:rPr>
        <w:t xml:space="preserve">. </w:t>
      </w:r>
      <w:r w:rsidR="006607D9" w:rsidRPr="003314B7">
        <w:rPr>
          <w:rFonts w:asciiTheme="majorBidi" w:hAnsiTheme="majorBidi" w:cstheme="majorBidi"/>
          <w:lang w:val="en-US"/>
        </w:rPr>
        <w:t>S</w:t>
      </w:r>
      <w:r w:rsidR="00B41FA4" w:rsidRPr="003314B7">
        <w:rPr>
          <w:rFonts w:asciiTheme="majorBidi" w:hAnsiTheme="majorBidi" w:cstheme="majorBidi"/>
          <w:lang w:val="en-US"/>
        </w:rPr>
        <w:t>tudy participants</w:t>
      </w:r>
      <w:r w:rsidR="006607D9" w:rsidRPr="003314B7">
        <w:rPr>
          <w:rFonts w:asciiTheme="majorBidi" w:hAnsiTheme="majorBidi" w:cstheme="majorBidi"/>
          <w:lang w:val="en-US"/>
        </w:rPr>
        <w:t xml:space="preserve"> </w:t>
      </w:r>
      <w:r w:rsidR="001C40FD" w:rsidRPr="003314B7">
        <w:rPr>
          <w:rFonts w:asciiTheme="majorBidi" w:hAnsiTheme="majorBidi" w:cstheme="majorBidi"/>
          <w:lang w:val="en-US"/>
        </w:rPr>
        <w:t>were categori</w:t>
      </w:r>
      <w:r w:rsidR="005D7BDA">
        <w:rPr>
          <w:rFonts w:asciiTheme="majorBidi" w:hAnsiTheme="majorBidi" w:cstheme="majorBidi"/>
          <w:lang w:val="en-US"/>
        </w:rPr>
        <w:t>z</w:t>
      </w:r>
      <w:r w:rsidR="005D7BDA" w:rsidRPr="003314B7">
        <w:rPr>
          <w:rFonts w:asciiTheme="majorBidi" w:hAnsiTheme="majorBidi" w:cstheme="majorBidi"/>
          <w:lang w:val="en-US"/>
        </w:rPr>
        <w:t>ed into four groups: 100 diagnosed with COPD, 100 patients with a combination of both COPD and HTN, 100 patients with HTN only, and</w:t>
      </w:r>
      <w:r w:rsidR="001C40FD" w:rsidRPr="003314B7">
        <w:rPr>
          <w:rFonts w:asciiTheme="majorBidi" w:hAnsiTheme="majorBidi" w:cstheme="majorBidi"/>
          <w:lang w:val="en-US"/>
        </w:rPr>
        <w:t xml:space="preserve"> 100 healthy </w:t>
      </w:r>
      <w:r w:rsidR="0000299D" w:rsidRPr="003314B7">
        <w:rPr>
          <w:rFonts w:asciiTheme="majorBidi" w:hAnsiTheme="majorBidi" w:cstheme="majorBidi"/>
          <w:lang w:val="en-US"/>
        </w:rPr>
        <w:t>individuals as controls</w:t>
      </w:r>
      <w:r w:rsidR="001C40FD" w:rsidRPr="003314B7">
        <w:rPr>
          <w:rFonts w:asciiTheme="majorBidi" w:hAnsiTheme="majorBidi" w:cstheme="majorBidi"/>
          <w:lang w:val="en-US"/>
        </w:rPr>
        <w:t xml:space="preserve">. The </w:t>
      </w:r>
      <w:r w:rsidR="00834F36" w:rsidRPr="003314B7">
        <w:rPr>
          <w:rFonts w:asciiTheme="majorBidi" w:hAnsiTheme="majorBidi" w:cstheme="majorBidi"/>
          <w:lang w:val="en-US"/>
        </w:rPr>
        <w:t xml:space="preserve">study </w:t>
      </w:r>
      <w:r w:rsidR="00D6590B" w:rsidRPr="003314B7">
        <w:rPr>
          <w:rFonts w:asciiTheme="majorBidi" w:hAnsiTheme="majorBidi" w:cstheme="majorBidi"/>
          <w:lang w:val="en-US"/>
        </w:rPr>
        <w:t xml:space="preserve">participants, aged between </w:t>
      </w:r>
      <w:r w:rsidR="00E1377C" w:rsidRPr="003314B7">
        <w:rPr>
          <w:rFonts w:asciiTheme="majorBidi" w:hAnsiTheme="majorBidi" w:cstheme="majorBidi"/>
          <w:lang w:val="en-US"/>
        </w:rPr>
        <w:t>3</w:t>
      </w:r>
      <w:r w:rsidR="00D6590B" w:rsidRPr="003314B7">
        <w:rPr>
          <w:rFonts w:asciiTheme="majorBidi" w:hAnsiTheme="majorBidi" w:cstheme="majorBidi"/>
          <w:lang w:val="en-US"/>
        </w:rPr>
        <w:t>0 and 60 years at the screening phase,</w:t>
      </w:r>
      <w:r w:rsidR="001C40FD" w:rsidRPr="003314B7">
        <w:rPr>
          <w:rFonts w:asciiTheme="majorBidi" w:hAnsiTheme="majorBidi" w:cstheme="majorBidi"/>
          <w:lang w:val="en-US"/>
        </w:rPr>
        <w:t xml:space="preserve"> were diagnosed with COPD and/or Hypertension (HTN) and had provided written informed consent before participating. The diagnosis of COPD was conducted in accordance with the guidelines established by the American Thoracic Society and the European Respiratory Society (GOLD, 2017). Exclusion criteria</w:t>
      </w:r>
      <w:r>
        <w:rPr>
          <w:rFonts w:asciiTheme="majorBidi" w:hAnsiTheme="majorBidi" w:cstheme="majorBidi"/>
          <w:lang w:val="en-US"/>
        </w:rPr>
        <w:t xml:space="preserve"> included </w:t>
      </w:r>
      <w:r w:rsidR="001C40FD" w:rsidRPr="003314B7">
        <w:rPr>
          <w:rFonts w:asciiTheme="majorBidi" w:hAnsiTheme="majorBidi" w:cstheme="majorBidi"/>
          <w:lang w:val="en-US"/>
        </w:rPr>
        <w:t>patients with other significant respiratory diseases, malignancies, severe comorbid conditions, or pregnancy.</w:t>
      </w:r>
      <w:r w:rsidR="00272490" w:rsidRPr="003314B7">
        <w:rPr>
          <w:rFonts w:asciiTheme="majorBidi" w:hAnsiTheme="majorBidi" w:cstheme="majorBidi"/>
          <w:lang w:val="en-US"/>
        </w:rPr>
        <w:t xml:space="preserve"> </w:t>
      </w:r>
      <w:r w:rsidR="00766DA1" w:rsidRPr="003314B7">
        <w:rPr>
          <w:rFonts w:asciiTheme="majorBidi" w:hAnsiTheme="majorBidi" w:cstheme="majorBidi"/>
          <w:lang w:val="en-US"/>
        </w:rPr>
        <w:t>The</w:t>
      </w:r>
      <w:r w:rsidR="009C02D8" w:rsidRPr="003314B7">
        <w:rPr>
          <w:rFonts w:asciiTheme="majorBidi" w:hAnsiTheme="majorBidi" w:cstheme="majorBidi"/>
          <w:lang w:val="en-US"/>
        </w:rPr>
        <w:t xml:space="preserve"> </w:t>
      </w:r>
      <w:r w:rsidR="00907AEE" w:rsidRPr="003314B7">
        <w:rPr>
          <w:rFonts w:asciiTheme="majorBidi" w:hAnsiTheme="majorBidi" w:cstheme="majorBidi"/>
          <w:lang w:val="en-US"/>
        </w:rPr>
        <w:t>gene typing of the ACE I/D gene</w:t>
      </w:r>
      <w:r>
        <w:rPr>
          <w:rFonts w:asciiTheme="majorBidi" w:hAnsiTheme="majorBidi" w:cstheme="majorBidi"/>
          <w:lang w:val="en-US"/>
        </w:rPr>
        <w:t xml:space="preserve"> </w:t>
      </w:r>
      <w:r w:rsidR="007621C8">
        <w:rPr>
          <w:rFonts w:asciiTheme="majorBidi" w:hAnsiTheme="majorBidi" w:cstheme="majorBidi"/>
          <w:lang w:val="en-US"/>
        </w:rPr>
        <w:t xml:space="preserve">was </w:t>
      </w:r>
      <w:r>
        <w:rPr>
          <w:rFonts w:asciiTheme="majorBidi" w:hAnsiTheme="majorBidi" w:cstheme="majorBidi"/>
          <w:lang w:val="en-US"/>
        </w:rPr>
        <w:t>carried out</w:t>
      </w:r>
      <w:r w:rsidR="006D6B13">
        <w:rPr>
          <w:rFonts w:asciiTheme="majorBidi" w:hAnsiTheme="majorBidi" w:cstheme="majorBidi"/>
          <w:lang w:val="en-US"/>
        </w:rPr>
        <w:t xml:space="preserve"> </w:t>
      </w:r>
      <w:r w:rsidR="001C40FD" w:rsidRPr="003314B7">
        <w:rPr>
          <w:rFonts w:asciiTheme="majorBidi" w:hAnsiTheme="majorBidi" w:cstheme="majorBidi"/>
          <w:lang w:val="en-US"/>
        </w:rPr>
        <w:t xml:space="preserve">using MSP for ACE-rs4646994 I/D. Approximately 3 mL of peripheral blood was </w:t>
      </w:r>
      <w:r w:rsidR="000651B8" w:rsidRPr="003314B7">
        <w:rPr>
          <w:rFonts w:asciiTheme="majorBidi" w:hAnsiTheme="majorBidi" w:cstheme="majorBidi"/>
          <w:lang w:val="en-US"/>
        </w:rPr>
        <w:t>collected</w:t>
      </w:r>
      <w:r w:rsidR="001C40FD" w:rsidRPr="003314B7">
        <w:rPr>
          <w:rFonts w:asciiTheme="majorBidi" w:hAnsiTheme="majorBidi" w:cstheme="majorBidi"/>
          <w:lang w:val="en-US"/>
        </w:rPr>
        <w:t xml:space="preserve"> into an EDTA tube. DNA was isolated using the Qiagen kit. The DNA</w:t>
      </w:r>
      <w:r w:rsidR="00AD1DE4" w:rsidRPr="003314B7">
        <w:rPr>
          <w:rFonts w:asciiTheme="majorBidi" w:hAnsiTheme="majorBidi" w:cstheme="majorBidi"/>
          <w:lang w:val="en-US"/>
        </w:rPr>
        <w:t xml:space="preserve"> samples</w:t>
      </w:r>
      <w:r w:rsidR="001C40FD" w:rsidRPr="003314B7">
        <w:rPr>
          <w:rFonts w:asciiTheme="majorBidi" w:hAnsiTheme="majorBidi" w:cstheme="majorBidi"/>
          <w:lang w:val="en-US"/>
        </w:rPr>
        <w:t xml:space="preserve"> </w:t>
      </w:r>
      <w:r w:rsidR="00356085" w:rsidRPr="003314B7">
        <w:rPr>
          <w:rFonts w:asciiTheme="majorBidi" w:hAnsiTheme="majorBidi" w:cstheme="majorBidi"/>
          <w:lang w:val="en-US"/>
        </w:rPr>
        <w:t>were</w:t>
      </w:r>
      <w:r w:rsidR="001C40FD" w:rsidRPr="003314B7">
        <w:rPr>
          <w:rFonts w:asciiTheme="majorBidi" w:hAnsiTheme="majorBidi" w:cstheme="majorBidi"/>
          <w:lang w:val="en-US"/>
        </w:rPr>
        <w:t xml:space="preserve"> kept at -20°C until further analysis. NanoDrop™ checked the quality and integrity of DNA. Primers </w:t>
      </w:r>
      <w:r w:rsidR="005D7BDA">
        <w:rPr>
          <w:rFonts w:asciiTheme="majorBidi" w:hAnsiTheme="majorBidi" w:cstheme="majorBidi"/>
          <w:lang w:val="en-US"/>
        </w:rPr>
        <w:t>were designed using the Primer3 software, as</w:t>
      </w:r>
      <w:r w:rsidR="001C40FD" w:rsidRPr="003314B7">
        <w:rPr>
          <w:rFonts w:asciiTheme="majorBidi" w:hAnsiTheme="majorBidi" w:cstheme="majorBidi"/>
          <w:lang w:val="en-US"/>
        </w:rPr>
        <w:t xml:space="preserve"> mentioned in a previous study </w:t>
      </w:r>
      <w:r w:rsidR="001C40FD"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{"citationItems":[{"id":"ITEM-1","itemData":{"DOI":"10.3390/jpm11111098","ISSN":"20754426","abstract":"Background: The ongoing outbreak of SARS-CoV-2 represents a significant challenge to international health. Several reports have highlighted the importance of ACE2 on the pathogenesis of COVID-19. The spike protein of SARS-CoV-2 efficiently binds to the angiotensin-converting enzyme 2 (ACE2) receptors and facilitates virus entry into the host cell. In the present study, we hypothesize that a functional insertion/deletion polymorphism-rs4646994 I/D and rs4240157 T &gt; C in the ACE gene could be associated with SARS-CoV-2 infection and mortality. Methodology: This study included 117 consecutive COVID-19 patients and 150 age matched healthy controls (ACE2-rs4646994 I/D) and 100 age matched healthy controls with ACE2 rs4240157 T &gt; C. We used Mutation specific PCR (MSP) for ACE2-rs4646994 I/D genotyping and amplification refractory mutation system (ARMS-PCR) for ACE2 rs4240157 T &gt; C genotyping. Results: Results indicated that there were significant differences in the genotype distributions of ACE2-rs4646994 I/D polymorphisms (p &lt; 0.030) and ACE2 rs4240157 T &gt; C between COVID-19 patients and controls (p-values &lt; 0.05). Higher frequency of DD genotype (48.71%) and D allele (0.67) was reported in COVID-19 patients than controls. Our results showed that the ACE2-DD genotype was strongly associated with increased COVID-19 severity (OR 2.37 (95%) CI = (1.19–4.70), RR = 1.39 (1.09–1.77), p &lt; 0.013) and also a strong association was seen with ACE2-ID genotype with COVID-19 severity (OR 2.20 (95%) CI = (1.08–4.46), p &lt; 0.020) in the codominant model. In allelic comparison, the D allele was strongly associated with COVID-19 severity (OR 1.58 (95% CI) (1.11–2.27), RR 1.21 (1.05–1.41) p &lt; 0.010). A significant correlation of ACE2-I/D genotypes was reported with Age (p &lt; 0.035), T2D (p &lt; 0.0013), hypertension (p &lt; 0.0031) and coronary artery disease (p &lt; 0.0001). Our results indicated ACE2-DD genotype was strongly associated with increased COVID-19 mortality (OR 8.25 (95%) CI = (2.40 to 28.34), p &lt; 0.008) and also ACE2-DD + DI genotype was strongly associated with increased COVID-19 mortality with OR 4.74 (95%) CI = (1.5214 to 14.7915), p &lt; 0.007. A significant correlation was reported between COVID-19 patients and age matched controls (p &lt; 0.0007). Higher frequency of heterozygosity TC (40%) followed by ACE2-CC genotype (24.78%) was reported among COVID-19 patients. Using multivariate analysis, ACE2–CT genotype was strong associated with SARS-CoV-2 severity with an OR 2.18…","author":[{"dropping-particle":"","family":"Mir","given":"Mohammad Muzaffar","non-dropping-particle":"","parse-names":false,"suffix":""},{"dropping-particle":"","family":"Mir","given":"Rashid","non-dropping-particle":"","parse-names":false,"suffix":""},{"dropping-particle":"","family":"Alghamdi","given":"Mushabab Ayed Abdullah","non-dropping-particle":"","parse-names":false,"suffix":""},{"dropping-particle":"","family":"Alsayed","given":"Badr Abdulmohsin","non-dropping-particle":"","parse-names":false,"suffix":""},{"dropping-particle":"","family":"Wani","given":"Javed Iqbal","non-dropping-particle":"","parse-names":false,"suffix":""},{"dropping-particle":"","family":"Alharthi","given":"Muffarah Hamid","non-dropping-particle":"","parse-names":false,"suffix":""},{"dropping-particle":"","family":"Al-Shahrani","given":"Abdullah M.","non-dropping-particle":"","parse-names":false,"suffix":""}],"container-title":"Journal of Personalized Medicine","id":"ITEM-1","issue":"11","issued":{"date-parts":[["2021","11","1"]]},"publisher":"MDPI","title":"Strong association of angiotensin converting enzyme-2 gene insertion/deletion polymorphism with susceptibility to sars-cov-2, hypertension, coronary artery disease and covid-19 disease mortality","type":"article-journal","volume":"11"},"uris":["http://www.mendeley.com/documents/?uuid=3d2a2767-c017-3f47-b1ad-6aa5bc96ac63"]}],"mendeley":{"formattedCitation":"(18)","plainTextFormattedCitation":"(18)","previouslyFormattedCitation":"(18)"},"properties":{"noteIndex":0},"schema":"https://github.com/citation-style-language/schema/raw/master/csl-citation.json"}</w:instrText>
      </w:r>
      <w:r w:rsidR="001C40FD" w:rsidRPr="003314B7">
        <w:rPr>
          <w:rFonts w:asciiTheme="majorBidi" w:hAnsiTheme="majorBidi" w:cstheme="majorBidi"/>
          <w:lang w:val="en-US"/>
        </w:rPr>
        <w:fldChar w:fldCharType="separate"/>
      </w:r>
      <w:r w:rsidR="00E153AA" w:rsidRPr="003314B7">
        <w:rPr>
          <w:rFonts w:asciiTheme="majorBidi" w:hAnsiTheme="majorBidi" w:cstheme="majorBidi"/>
          <w:noProof/>
          <w:lang w:val="en-US"/>
        </w:rPr>
        <w:t>(18)</w:t>
      </w:r>
      <w:r w:rsidR="001C40FD" w:rsidRPr="003314B7">
        <w:rPr>
          <w:rFonts w:asciiTheme="majorBidi" w:hAnsiTheme="majorBidi" w:cstheme="majorBidi"/>
          <w:lang w:val="en-US"/>
        </w:rPr>
        <w:fldChar w:fldCharType="end"/>
      </w:r>
      <w:r w:rsidR="005D7BDA">
        <w:rPr>
          <w:rFonts w:asciiTheme="majorBidi" w:hAnsiTheme="majorBidi" w:cstheme="majorBidi"/>
          <w:lang w:val="en-US"/>
        </w:rPr>
        <w:t>.</w:t>
      </w:r>
      <w:r w:rsidR="001C40FD" w:rsidRPr="003314B7">
        <w:rPr>
          <w:rFonts w:asciiTheme="majorBidi" w:hAnsiTheme="majorBidi" w:cstheme="majorBidi"/>
          <w:lang w:val="en-US"/>
        </w:rPr>
        <w:t xml:space="preserve"> </w:t>
      </w:r>
      <w:r w:rsidR="005D7BDA">
        <w:rPr>
          <w:rFonts w:asciiTheme="majorBidi" w:hAnsiTheme="majorBidi" w:cstheme="majorBidi"/>
          <w:lang w:val="en-US"/>
        </w:rPr>
        <w:t xml:space="preserve">The </w:t>
      </w:r>
      <w:r w:rsidR="001C40FD" w:rsidRPr="003314B7">
        <w:rPr>
          <w:rFonts w:asciiTheme="majorBidi" w:hAnsiTheme="majorBidi" w:cstheme="majorBidi"/>
          <w:lang w:val="en-US"/>
        </w:rPr>
        <w:t>primers for the PCR reaction</w:t>
      </w:r>
      <w:r w:rsidR="005D7BDA">
        <w:rPr>
          <w:rFonts w:asciiTheme="majorBidi" w:hAnsiTheme="majorBidi" w:cstheme="majorBidi"/>
          <w:lang w:val="en-US"/>
        </w:rPr>
        <w:t xml:space="preserve"> were provided by </w:t>
      </w:r>
      <w:r w:rsidR="005D7BDA" w:rsidRPr="00255F40">
        <w:rPr>
          <w:rFonts w:asciiTheme="majorBidi" w:hAnsiTheme="majorBidi" w:cstheme="majorBidi"/>
          <w:lang w:val="en-US"/>
        </w:rPr>
        <w:t>Eurofins Genomics India Pvt Ltd in India</w:t>
      </w:r>
      <w:r w:rsidR="001C40FD" w:rsidRPr="003314B7">
        <w:rPr>
          <w:rFonts w:asciiTheme="majorBidi" w:hAnsiTheme="majorBidi" w:cstheme="majorBidi"/>
          <w:lang w:val="en-US"/>
        </w:rPr>
        <w:t>.</w:t>
      </w:r>
      <w:r w:rsidR="00BE4D39" w:rsidRPr="003314B7">
        <w:rPr>
          <w:rFonts w:asciiTheme="majorBidi" w:hAnsiTheme="majorBidi" w:cstheme="majorBidi"/>
          <w:lang w:val="en-US"/>
        </w:rPr>
        <w:t xml:space="preserve"> </w:t>
      </w:r>
      <w:r w:rsidR="00E12A02" w:rsidRPr="003314B7">
        <w:rPr>
          <w:rFonts w:asciiTheme="majorBidi" w:hAnsiTheme="majorBidi" w:cstheme="majorBidi"/>
          <w:lang w:val="en-US"/>
        </w:rPr>
        <w:t xml:space="preserve">The PCR products were separated by </w:t>
      </w:r>
      <w:r w:rsidR="005D7BDA">
        <w:rPr>
          <w:rFonts w:asciiTheme="majorBidi" w:hAnsiTheme="majorBidi" w:cstheme="majorBidi"/>
          <w:lang w:val="en-US"/>
        </w:rPr>
        <w:t xml:space="preserve">1% agarose </w:t>
      </w:r>
      <w:r w:rsidR="00E12A02" w:rsidRPr="003314B7">
        <w:rPr>
          <w:rFonts w:asciiTheme="majorBidi" w:hAnsiTheme="majorBidi" w:cstheme="majorBidi"/>
          <w:lang w:val="en-US"/>
        </w:rPr>
        <w:t xml:space="preserve">gel electrophoresis, and the results were visualized with </w:t>
      </w:r>
      <w:r w:rsidR="0059221A" w:rsidRPr="003314B7">
        <w:rPr>
          <w:rFonts w:asciiTheme="majorBidi" w:hAnsiTheme="majorBidi" w:cstheme="majorBidi"/>
          <w:lang w:val="en-US"/>
        </w:rPr>
        <w:t>an</w:t>
      </w:r>
      <w:r w:rsidR="00E12A02" w:rsidRPr="003314B7">
        <w:rPr>
          <w:rFonts w:asciiTheme="majorBidi" w:hAnsiTheme="majorBidi" w:cstheme="majorBidi"/>
          <w:lang w:val="en-US"/>
        </w:rPr>
        <w:t xml:space="preserve"> Ultraviolet (UV) Gel Doc</w:t>
      </w:r>
      <w:r w:rsidR="00337A93" w:rsidRPr="003314B7">
        <w:rPr>
          <w:rFonts w:asciiTheme="majorBidi" w:hAnsiTheme="majorBidi" w:cstheme="majorBidi"/>
          <w:lang w:val="en-US"/>
        </w:rPr>
        <w:t xml:space="preserve"> as shown</w:t>
      </w:r>
      <w:r w:rsidR="00291AA5" w:rsidRPr="003314B7">
        <w:rPr>
          <w:rFonts w:asciiTheme="majorBidi" w:hAnsiTheme="majorBidi" w:cstheme="majorBidi"/>
          <w:lang w:val="en-US"/>
        </w:rPr>
        <w:t xml:space="preserve"> </w:t>
      </w:r>
      <w:r w:rsidR="00246C2F" w:rsidRPr="003314B7">
        <w:rPr>
          <w:rFonts w:asciiTheme="majorBidi" w:hAnsiTheme="majorBidi" w:cstheme="majorBidi"/>
          <w:lang w:val="en-US"/>
        </w:rPr>
        <w:t xml:space="preserve">in </w:t>
      </w:r>
      <w:r w:rsidR="005D7BDA">
        <w:rPr>
          <w:rFonts w:asciiTheme="majorBidi" w:hAnsiTheme="majorBidi" w:cstheme="majorBidi"/>
          <w:lang w:val="en-US"/>
        </w:rPr>
        <w:t>F</w:t>
      </w:r>
      <w:r w:rsidR="005D7BDA" w:rsidRPr="003314B7">
        <w:rPr>
          <w:rFonts w:asciiTheme="majorBidi" w:hAnsiTheme="majorBidi" w:cstheme="majorBidi"/>
          <w:lang w:val="en-US"/>
        </w:rPr>
        <w:t xml:space="preserve">igure </w:t>
      </w:r>
      <w:r w:rsidR="00E57A73" w:rsidRPr="003314B7">
        <w:rPr>
          <w:rFonts w:asciiTheme="majorBidi" w:hAnsiTheme="majorBidi" w:cstheme="majorBidi"/>
          <w:lang w:val="en-US"/>
        </w:rPr>
        <w:t>1</w:t>
      </w:r>
      <w:r w:rsidR="00E12A02" w:rsidRPr="003314B7">
        <w:rPr>
          <w:rFonts w:asciiTheme="majorBidi" w:hAnsiTheme="majorBidi" w:cstheme="majorBidi"/>
          <w:lang w:val="en-US"/>
        </w:rPr>
        <w:t>.</w:t>
      </w:r>
      <w:r w:rsidR="006D6B13">
        <w:rPr>
          <w:rFonts w:asciiTheme="majorBidi" w:hAnsiTheme="majorBidi" w:cstheme="majorBidi"/>
          <w:lang w:val="en-US"/>
        </w:rPr>
        <w:t xml:space="preserve"> </w:t>
      </w:r>
      <w:r w:rsidR="006D6B13">
        <w:rPr>
          <w:color w:val="1C1C1C"/>
        </w:rPr>
        <w:t>The statistical analyses were performed using SPSS software (SPSS Inc., Chicago, USA)</w:t>
      </w:r>
      <w:r w:rsidR="007621C8">
        <w:rPr>
          <w:color w:val="1C1C1C"/>
        </w:rPr>
        <w:t xml:space="preserve">. </w:t>
      </w:r>
      <w:r w:rsidR="007621C8" w:rsidRPr="00243B05">
        <w:rPr>
          <w:rFonts w:ascii="Times New Roman" w:hAnsi="Times New Roman" w:cs="Times New Roman"/>
          <w:color w:val="1C1C1C"/>
        </w:rPr>
        <w:t>The analysis of categorical variables wa</w:t>
      </w:r>
      <w:r w:rsidR="00526592" w:rsidRPr="00243B05">
        <w:rPr>
          <w:rFonts w:ascii="Times New Roman" w:hAnsi="Times New Roman" w:cs="Times New Roman"/>
          <w:color w:val="1C1C1C"/>
        </w:rPr>
        <w:t>s conducted using the chi-square test. The calculation of the odds ratio, together with a 95% confidence interval,</w:t>
      </w:r>
      <w:r w:rsidR="001C1F3D" w:rsidRPr="00243B05">
        <w:rPr>
          <w:rFonts w:ascii="Times New Roman" w:hAnsi="Times New Roman" w:cs="Times New Roman"/>
          <w:color w:val="1C1C1C"/>
        </w:rPr>
        <w:t xml:space="preserve"> is </w:t>
      </w:r>
      <w:r w:rsidR="00526592" w:rsidRPr="00243B05">
        <w:rPr>
          <w:rFonts w:ascii="Times New Roman" w:hAnsi="Times New Roman" w:cs="Times New Roman"/>
          <w:color w:val="1C1C1C"/>
        </w:rPr>
        <w:t xml:space="preserve">employed to determine the level of risk. A p-value ≤ 0.05 </w:t>
      </w:r>
      <w:r w:rsidR="008F79F9" w:rsidRPr="00243B05">
        <w:rPr>
          <w:rFonts w:ascii="Times New Roman" w:hAnsi="Times New Roman" w:cs="Times New Roman"/>
          <w:color w:val="1C1C1C"/>
        </w:rPr>
        <w:t xml:space="preserve">was considered </w:t>
      </w:r>
      <w:r w:rsidR="00526592" w:rsidRPr="00243B05">
        <w:rPr>
          <w:rFonts w:ascii="Times New Roman" w:hAnsi="Times New Roman" w:cs="Times New Roman"/>
          <w:color w:val="1C1C1C"/>
        </w:rPr>
        <w:t>statistically significant.</w:t>
      </w:r>
    </w:p>
    <w:p w14:paraId="2BF5E2C2" w14:textId="41E5DC7E" w:rsidR="00AD6E15" w:rsidRPr="003314B7" w:rsidRDefault="00D11E45" w:rsidP="00243B05">
      <w:pPr>
        <w:pStyle w:val="NormalWeb"/>
        <w:rPr>
          <w:rFonts w:asciiTheme="majorBidi" w:hAnsiTheme="majorBidi" w:cstheme="majorBidi"/>
          <w:b/>
          <w:bCs/>
          <w:lang w:val="en-US"/>
        </w:rPr>
      </w:pPr>
      <w:r w:rsidRPr="003314B7">
        <w:rPr>
          <w:rFonts w:asciiTheme="majorBidi" w:hAnsiTheme="majorBidi" w:cstheme="majorBidi"/>
          <w:lang w:val="en-US"/>
        </w:rPr>
        <w:lastRenderedPageBreak/>
        <w:t xml:space="preserve"> </w:t>
      </w:r>
      <w:r w:rsidR="001C40FD" w:rsidRPr="003314B7">
        <w:rPr>
          <w:rFonts w:asciiTheme="majorBidi" w:hAnsiTheme="majorBidi" w:cstheme="majorBidi"/>
          <w:b/>
          <w:bCs/>
          <w:lang w:val="en-US"/>
        </w:rPr>
        <w:t>Results:</w:t>
      </w:r>
    </w:p>
    <w:p w14:paraId="5278CCCC" w14:textId="2F6A9088" w:rsidR="00F32B40" w:rsidRDefault="00243B05" w:rsidP="00A3639A">
      <w:pPr>
        <w:spacing w:line="360" w:lineRule="auto"/>
        <w:jc w:val="both"/>
        <w:rPr>
          <w:rFonts w:asciiTheme="majorBidi" w:hAnsiTheme="majorBidi" w:cstheme="majorBidi"/>
          <w:lang w:val="en-US"/>
        </w:rPr>
      </w:pPr>
      <w:r w:rsidRPr="003314B7">
        <w:rPr>
          <w:rFonts w:asciiTheme="majorBidi" w:hAnsiTheme="majorBidi" w:cstheme="majorBidi"/>
          <w:lang w:val="en-US"/>
        </w:rPr>
        <w:t xml:space="preserve">The PCR products separated by </w:t>
      </w:r>
      <w:r>
        <w:rPr>
          <w:rFonts w:asciiTheme="majorBidi" w:hAnsiTheme="majorBidi" w:cstheme="majorBidi"/>
          <w:lang w:val="en-US"/>
        </w:rPr>
        <w:t xml:space="preserve">1% agarose </w:t>
      </w:r>
      <w:r>
        <w:rPr>
          <w:rFonts w:asciiTheme="majorBidi" w:hAnsiTheme="majorBidi" w:cstheme="majorBidi"/>
          <w:lang w:val="en-US"/>
        </w:rPr>
        <w:t xml:space="preserve">gel electrophoresis </w:t>
      </w:r>
      <w:r w:rsidRPr="003314B7">
        <w:rPr>
          <w:rFonts w:asciiTheme="majorBidi" w:hAnsiTheme="majorBidi" w:cstheme="majorBidi"/>
          <w:lang w:val="en-US"/>
        </w:rPr>
        <w:t xml:space="preserve">were visualized with an Ultraviolet (UV) Gel Doc </w:t>
      </w:r>
      <w:r>
        <w:rPr>
          <w:rFonts w:asciiTheme="majorBidi" w:hAnsiTheme="majorBidi" w:cstheme="majorBidi"/>
          <w:lang w:val="en-US"/>
        </w:rPr>
        <w:t>(</w:t>
      </w:r>
      <w:r>
        <w:rPr>
          <w:rFonts w:asciiTheme="majorBidi" w:hAnsiTheme="majorBidi" w:cstheme="majorBidi"/>
          <w:lang w:val="en-US"/>
        </w:rPr>
        <w:t>F</w:t>
      </w:r>
      <w:r w:rsidRPr="003314B7">
        <w:rPr>
          <w:rFonts w:asciiTheme="majorBidi" w:hAnsiTheme="majorBidi" w:cstheme="majorBidi"/>
          <w:lang w:val="en-US"/>
        </w:rPr>
        <w:t>igure 1</w:t>
      </w:r>
      <w:r>
        <w:rPr>
          <w:rFonts w:asciiTheme="majorBidi" w:hAnsiTheme="majorBidi" w:cstheme="majorBidi"/>
          <w:lang w:val="en-US"/>
        </w:rPr>
        <w:t>)</w:t>
      </w:r>
      <w:r w:rsidRPr="003314B7">
        <w:rPr>
          <w:rFonts w:asciiTheme="majorBidi" w:hAnsiTheme="majorBidi" w:cstheme="majorBidi"/>
          <w:lang w:val="en-US"/>
        </w:rPr>
        <w:t>.</w:t>
      </w:r>
      <w:r>
        <w:rPr>
          <w:rFonts w:asciiTheme="majorBidi" w:hAnsiTheme="majorBidi" w:cstheme="majorBidi"/>
          <w:lang w:val="en-US"/>
        </w:rPr>
        <w:t xml:space="preserve"> </w:t>
      </w:r>
      <w:r w:rsidR="00F32B40" w:rsidRPr="003314B7">
        <w:rPr>
          <w:rFonts w:asciiTheme="majorBidi" w:hAnsiTheme="majorBidi" w:cstheme="majorBidi"/>
          <w:lang w:val="en-US"/>
        </w:rPr>
        <w:t>The distribution of polymorphic genotype</w:t>
      </w:r>
      <w:r w:rsidR="0042722F" w:rsidRPr="003314B7">
        <w:rPr>
          <w:rFonts w:asciiTheme="majorBidi" w:hAnsiTheme="majorBidi" w:cstheme="majorBidi"/>
          <w:lang w:val="en-US"/>
        </w:rPr>
        <w:t xml:space="preserve"> f</w:t>
      </w:r>
      <w:r w:rsidR="006C3FEE" w:rsidRPr="003314B7">
        <w:rPr>
          <w:rFonts w:asciiTheme="majorBidi" w:hAnsiTheme="majorBidi" w:cstheme="majorBidi"/>
          <w:lang w:val="en-US"/>
        </w:rPr>
        <w:t>requencies</w:t>
      </w:r>
      <w:r w:rsidR="00F32B40" w:rsidRPr="003314B7">
        <w:rPr>
          <w:rFonts w:asciiTheme="majorBidi" w:hAnsiTheme="majorBidi" w:cstheme="majorBidi"/>
          <w:lang w:val="en-US"/>
        </w:rPr>
        <w:t xml:space="preserve"> of ACE and the assessment of their conformity to the Hardy-Weinberg equilibrium were conducted in patients with COPD, COPD+HTN, HTN</w:t>
      </w:r>
      <w:r w:rsidR="008A49CE" w:rsidRPr="003314B7">
        <w:rPr>
          <w:rFonts w:asciiTheme="majorBidi" w:hAnsiTheme="majorBidi" w:cstheme="majorBidi"/>
          <w:lang w:val="en-US"/>
        </w:rPr>
        <w:t>,</w:t>
      </w:r>
      <w:r w:rsidR="00F32B40" w:rsidRPr="003314B7">
        <w:rPr>
          <w:rFonts w:asciiTheme="majorBidi" w:hAnsiTheme="majorBidi" w:cstheme="majorBidi"/>
          <w:lang w:val="en-US"/>
        </w:rPr>
        <w:t xml:space="preserve"> and controls. The genotype</w:t>
      </w:r>
      <w:r w:rsidR="008B0493" w:rsidRPr="003314B7">
        <w:rPr>
          <w:rFonts w:asciiTheme="majorBidi" w:hAnsiTheme="majorBidi" w:cstheme="majorBidi"/>
          <w:lang w:val="en-US"/>
        </w:rPr>
        <w:t xml:space="preserve"> and </w:t>
      </w:r>
      <w:r w:rsidR="008A49CE" w:rsidRPr="003314B7">
        <w:rPr>
          <w:rFonts w:asciiTheme="majorBidi" w:hAnsiTheme="majorBidi" w:cstheme="majorBidi"/>
          <w:lang w:val="en-US"/>
        </w:rPr>
        <w:t xml:space="preserve">allelic </w:t>
      </w:r>
      <w:r w:rsidR="00F32B40" w:rsidRPr="003314B7">
        <w:rPr>
          <w:rFonts w:asciiTheme="majorBidi" w:hAnsiTheme="majorBidi" w:cstheme="majorBidi"/>
          <w:lang w:val="en-US"/>
        </w:rPr>
        <w:t xml:space="preserve">frequencies are detailed in Table 1. </w:t>
      </w:r>
    </w:p>
    <w:p w14:paraId="26378D6C" w14:textId="129E41B7" w:rsidR="00243B05" w:rsidRDefault="00243B05" w:rsidP="00A3639A">
      <w:pPr>
        <w:spacing w:line="360" w:lineRule="auto"/>
        <w:jc w:val="both"/>
        <w:rPr>
          <w:rFonts w:asciiTheme="majorBidi" w:hAnsiTheme="majorBidi" w:cstheme="majorBidi"/>
          <w:lang w:val="en-US"/>
        </w:rPr>
      </w:pPr>
    </w:p>
    <w:p w14:paraId="5C4BBBE8" w14:textId="2A48B2EE" w:rsidR="00243B05" w:rsidRDefault="00243B05" w:rsidP="00A3639A">
      <w:pPr>
        <w:spacing w:line="360" w:lineRule="auto"/>
        <w:jc w:val="both"/>
        <w:rPr>
          <w:rFonts w:asciiTheme="majorBidi" w:hAnsiTheme="majorBidi" w:cstheme="majorBidi"/>
          <w:lang w:val="en-US"/>
        </w:rPr>
      </w:pPr>
      <w:r w:rsidRPr="003314B7">
        <w:rPr>
          <w:noProof/>
        </w:rPr>
        <w:drawing>
          <wp:inline distT="0" distB="0" distL="0" distR="0" wp14:anchorId="73BDFFC4" wp14:editId="4172DDCA">
            <wp:extent cx="5731510" cy="3064510"/>
            <wp:effectExtent l="0" t="0" r="2540" b="2540"/>
            <wp:docPr id="2008223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64510"/>
                    </a:xfrm>
                    <a:prstGeom prst="rect">
                      <a:avLst/>
                    </a:prstGeom>
                    <a:noFill/>
                    <a:ln>
                      <a:noFill/>
                    </a:ln>
                  </pic:spPr>
                </pic:pic>
              </a:graphicData>
            </a:graphic>
          </wp:inline>
        </w:drawing>
      </w:r>
    </w:p>
    <w:p w14:paraId="5BBDE439" w14:textId="77777777" w:rsidR="00243B05" w:rsidRPr="003314B7" w:rsidRDefault="00243B05" w:rsidP="00243B05">
      <w:pPr>
        <w:jc w:val="both"/>
        <w:rPr>
          <w:rFonts w:asciiTheme="majorBidi" w:hAnsiTheme="majorBidi" w:cstheme="majorBidi"/>
          <w:b/>
          <w:bCs/>
          <w:lang w:val="en-US"/>
        </w:rPr>
      </w:pPr>
      <w:r w:rsidRPr="003314B7">
        <w:rPr>
          <w:rFonts w:asciiTheme="majorBidi" w:hAnsiTheme="majorBidi" w:cstheme="majorBidi"/>
          <w:b/>
          <w:bCs/>
          <w:lang w:val="en-US"/>
        </w:rPr>
        <w:t>Figure 1:</w:t>
      </w:r>
      <w:r>
        <w:rPr>
          <w:rFonts w:asciiTheme="majorBidi" w:hAnsiTheme="majorBidi" w:cstheme="majorBidi"/>
          <w:b/>
          <w:bCs/>
          <w:lang w:val="en-US"/>
        </w:rPr>
        <w:t>Gel Electrophoresis bands visualized with UV Gel Doc.</w:t>
      </w:r>
    </w:p>
    <w:p w14:paraId="1EE94DE7" w14:textId="7C420045" w:rsidR="00243B05" w:rsidRPr="00243B05" w:rsidRDefault="00243B05" w:rsidP="00243B05">
      <w:pPr>
        <w:jc w:val="both"/>
        <w:rPr>
          <w:rFonts w:asciiTheme="majorBidi" w:hAnsiTheme="majorBidi" w:cstheme="majorBidi"/>
          <w:sz w:val="10"/>
          <w:lang w:val="en-US"/>
        </w:rPr>
      </w:pPr>
    </w:p>
    <w:p w14:paraId="1207C787" w14:textId="1AC48EFC" w:rsidR="00F32B40" w:rsidRPr="003314B7" w:rsidRDefault="00F32B40" w:rsidP="00A3639A">
      <w:pPr>
        <w:spacing w:line="360" w:lineRule="auto"/>
        <w:jc w:val="both"/>
        <w:rPr>
          <w:rFonts w:asciiTheme="majorBidi" w:hAnsiTheme="majorBidi" w:cstheme="majorBidi"/>
          <w:lang w:val="en-US"/>
        </w:rPr>
      </w:pPr>
      <w:r w:rsidRPr="003314B7">
        <w:rPr>
          <w:rFonts w:asciiTheme="majorBidi" w:hAnsiTheme="majorBidi" w:cstheme="majorBidi"/>
          <w:lang w:val="en-US"/>
        </w:rPr>
        <w:t xml:space="preserve">The chi-square and estimation of risk (OR) with 95% </w:t>
      </w:r>
      <w:r w:rsidR="00502D9E" w:rsidRPr="003314B7">
        <w:rPr>
          <w:rFonts w:asciiTheme="majorBidi" w:hAnsiTheme="majorBidi" w:cstheme="majorBidi"/>
          <w:lang w:val="en-US"/>
        </w:rPr>
        <w:t>Confidence Intervals for homozygous II, heterozygous ID, and homozygous DD genotypes in different study groups versus the control are</w:t>
      </w:r>
      <w:r w:rsidRPr="003314B7">
        <w:rPr>
          <w:rFonts w:asciiTheme="majorBidi" w:hAnsiTheme="majorBidi" w:cstheme="majorBidi"/>
          <w:lang w:val="en-US"/>
        </w:rPr>
        <w:t xml:space="preserve"> shown in Table 2. The results indicate that there </w:t>
      </w:r>
      <w:r w:rsidR="00707DFF">
        <w:rPr>
          <w:rFonts w:asciiTheme="majorBidi" w:hAnsiTheme="majorBidi" w:cstheme="majorBidi"/>
          <w:lang w:val="en-US"/>
        </w:rPr>
        <w:t>were</w:t>
      </w:r>
      <w:r w:rsidRPr="003314B7">
        <w:rPr>
          <w:rFonts w:asciiTheme="majorBidi" w:hAnsiTheme="majorBidi" w:cstheme="majorBidi"/>
          <w:lang w:val="en-US"/>
        </w:rPr>
        <w:t xml:space="preserve"> no significant correlations between genotypes and the risk of disease occurrence.</w:t>
      </w:r>
    </w:p>
    <w:p w14:paraId="77535A2A" w14:textId="0DE8A8D6" w:rsidR="00AD6E15" w:rsidRDefault="00F32B40" w:rsidP="00A3639A">
      <w:pPr>
        <w:spacing w:line="360" w:lineRule="auto"/>
        <w:jc w:val="both"/>
        <w:rPr>
          <w:rFonts w:asciiTheme="majorBidi" w:hAnsiTheme="majorBidi" w:cstheme="majorBidi"/>
          <w:lang w:val="en-US"/>
        </w:rPr>
      </w:pPr>
      <w:r w:rsidRPr="003314B7">
        <w:rPr>
          <w:rFonts w:asciiTheme="majorBidi" w:hAnsiTheme="majorBidi" w:cstheme="majorBidi"/>
          <w:lang w:val="en-US"/>
        </w:rPr>
        <w:t>The study results</w:t>
      </w:r>
      <w:r w:rsidR="003B7AB9" w:rsidRPr="003314B7">
        <w:rPr>
          <w:rFonts w:asciiTheme="majorBidi" w:hAnsiTheme="majorBidi" w:cstheme="majorBidi"/>
          <w:lang w:val="en-US"/>
        </w:rPr>
        <w:t xml:space="preserve"> of </w:t>
      </w:r>
      <w:r w:rsidRPr="003314B7">
        <w:rPr>
          <w:rFonts w:asciiTheme="majorBidi" w:hAnsiTheme="majorBidi" w:cstheme="majorBidi"/>
          <w:lang w:val="en-US"/>
        </w:rPr>
        <w:t xml:space="preserve">the chi-square </w:t>
      </w:r>
      <w:r w:rsidR="003B7AB9" w:rsidRPr="003314B7">
        <w:rPr>
          <w:rFonts w:asciiTheme="majorBidi" w:hAnsiTheme="majorBidi" w:cstheme="majorBidi"/>
          <w:lang w:val="en-US"/>
        </w:rPr>
        <w:t>test</w:t>
      </w:r>
      <w:r w:rsidRPr="003314B7">
        <w:rPr>
          <w:rFonts w:asciiTheme="majorBidi" w:hAnsiTheme="majorBidi" w:cstheme="majorBidi"/>
          <w:lang w:val="en-US"/>
        </w:rPr>
        <w:t xml:space="preserve"> and estimation of risk (OR) with a 95% </w:t>
      </w:r>
      <w:r w:rsidR="004D72C1" w:rsidRPr="003314B7">
        <w:rPr>
          <w:rFonts w:asciiTheme="majorBidi" w:hAnsiTheme="majorBidi" w:cstheme="majorBidi"/>
          <w:lang w:val="en-US"/>
        </w:rPr>
        <w:t xml:space="preserve">confidence interval for </w:t>
      </w:r>
      <w:r w:rsidRPr="003314B7">
        <w:rPr>
          <w:rFonts w:asciiTheme="majorBidi" w:hAnsiTheme="majorBidi" w:cstheme="majorBidi"/>
          <w:lang w:val="en-US"/>
        </w:rPr>
        <w:t xml:space="preserve">the </w:t>
      </w:r>
      <w:r w:rsidR="003A2FCD" w:rsidRPr="003314B7">
        <w:rPr>
          <w:rFonts w:asciiTheme="majorBidi" w:hAnsiTheme="majorBidi" w:cstheme="majorBidi"/>
          <w:lang w:val="en-US"/>
        </w:rPr>
        <w:t>ACE I</w:t>
      </w:r>
      <w:r w:rsidR="004C6D4D" w:rsidRPr="003314B7">
        <w:rPr>
          <w:rFonts w:asciiTheme="majorBidi" w:hAnsiTheme="majorBidi" w:cstheme="majorBidi"/>
          <w:lang w:val="en-US"/>
        </w:rPr>
        <w:t>/</w:t>
      </w:r>
      <w:r w:rsidR="003A2FCD" w:rsidRPr="003314B7">
        <w:rPr>
          <w:rFonts w:asciiTheme="majorBidi" w:hAnsiTheme="majorBidi" w:cstheme="majorBidi"/>
          <w:lang w:val="en-US"/>
        </w:rPr>
        <w:t>D allele</w:t>
      </w:r>
      <w:r w:rsidRPr="003314B7">
        <w:rPr>
          <w:rFonts w:asciiTheme="majorBidi" w:hAnsiTheme="majorBidi" w:cstheme="majorBidi"/>
          <w:lang w:val="en-US"/>
        </w:rPr>
        <w:t xml:space="preserve"> in different study groups compared to controls</w:t>
      </w:r>
      <w:r w:rsidR="004D72C1" w:rsidRPr="003314B7">
        <w:rPr>
          <w:rFonts w:asciiTheme="majorBidi" w:hAnsiTheme="majorBidi" w:cstheme="majorBidi"/>
          <w:lang w:val="en-US"/>
        </w:rPr>
        <w:t xml:space="preserve"> </w:t>
      </w:r>
      <w:r w:rsidR="00703742" w:rsidRPr="003314B7">
        <w:rPr>
          <w:rFonts w:asciiTheme="majorBidi" w:hAnsiTheme="majorBidi" w:cstheme="majorBidi"/>
          <w:lang w:val="en-US"/>
        </w:rPr>
        <w:t>are presented in Table 3</w:t>
      </w:r>
      <w:r w:rsidR="007621C8">
        <w:rPr>
          <w:rFonts w:asciiTheme="majorBidi" w:hAnsiTheme="majorBidi" w:cstheme="majorBidi"/>
          <w:lang w:val="en-US"/>
        </w:rPr>
        <w:t>. T</w:t>
      </w:r>
      <w:r w:rsidRPr="003314B7">
        <w:rPr>
          <w:rFonts w:asciiTheme="majorBidi" w:hAnsiTheme="majorBidi" w:cstheme="majorBidi"/>
          <w:lang w:val="en-US"/>
        </w:rPr>
        <w:t xml:space="preserve">he p-value </w:t>
      </w:r>
      <w:r w:rsidR="00082E5A" w:rsidRPr="003314B7">
        <w:rPr>
          <w:rFonts w:asciiTheme="majorBidi" w:hAnsiTheme="majorBidi" w:cstheme="majorBidi"/>
          <w:lang w:val="en-US"/>
        </w:rPr>
        <w:t>indicates a significant correlation between the D allele and the disease in COPD, COPD + HTN, and HTN compared to</w:t>
      </w:r>
      <w:r w:rsidRPr="003314B7">
        <w:rPr>
          <w:rFonts w:asciiTheme="majorBidi" w:hAnsiTheme="majorBidi" w:cstheme="majorBidi"/>
          <w:lang w:val="en-US"/>
        </w:rPr>
        <w:t xml:space="preserve"> controls.</w:t>
      </w:r>
    </w:p>
    <w:p w14:paraId="642CC6C3" w14:textId="77777777" w:rsidR="000425C1" w:rsidRDefault="000425C1" w:rsidP="00A3639A">
      <w:pPr>
        <w:spacing w:line="360" w:lineRule="auto"/>
        <w:jc w:val="both"/>
        <w:rPr>
          <w:rFonts w:asciiTheme="majorBidi" w:hAnsiTheme="majorBidi" w:cstheme="majorBidi"/>
          <w:lang w:val="en-US"/>
        </w:rPr>
      </w:pPr>
    </w:p>
    <w:p w14:paraId="7C0A0701" w14:textId="77777777" w:rsidR="000425C1" w:rsidRDefault="000425C1" w:rsidP="00A3639A">
      <w:pPr>
        <w:spacing w:line="360" w:lineRule="auto"/>
        <w:jc w:val="both"/>
        <w:rPr>
          <w:rFonts w:asciiTheme="majorBidi" w:hAnsiTheme="majorBidi" w:cstheme="majorBidi"/>
          <w:lang w:val="en-US"/>
        </w:rPr>
      </w:pPr>
    </w:p>
    <w:p w14:paraId="683F360F" w14:textId="77777777" w:rsidR="000425C1" w:rsidRPr="003314B7" w:rsidRDefault="000425C1" w:rsidP="00A3639A">
      <w:pPr>
        <w:spacing w:line="360" w:lineRule="auto"/>
        <w:jc w:val="both"/>
        <w:rPr>
          <w:rFonts w:asciiTheme="majorBidi" w:hAnsiTheme="majorBidi" w:cstheme="majorBidi"/>
          <w:lang w:val="en-US"/>
        </w:rPr>
      </w:pPr>
    </w:p>
    <w:p w14:paraId="02A309D5" w14:textId="5E3654D5" w:rsidR="001C40FD" w:rsidRPr="003314B7" w:rsidRDefault="00F32B40" w:rsidP="005D7BDA">
      <w:pPr>
        <w:spacing w:line="360" w:lineRule="auto"/>
        <w:jc w:val="both"/>
        <w:rPr>
          <w:rFonts w:asciiTheme="majorBidi" w:hAnsiTheme="majorBidi" w:cstheme="majorBidi"/>
          <w:lang w:val="en-US"/>
        </w:rPr>
      </w:pPr>
      <w:r w:rsidRPr="003314B7">
        <w:rPr>
          <w:rFonts w:asciiTheme="majorBidi" w:hAnsiTheme="majorBidi" w:cstheme="majorBidi"/>
          <w:b/>
          <w:bCs/>
          <w:lang w:val="en-US"/>
        </w:rPr>
        <w:t>Table 1.</w:t>
      </w:r>
      <w:r w:rsidRPr="003314B7">
        <w:rPr>
          <w:rFonts w:asciiTheme="majorBidi" w:hAnsiTheme="majorBidi" w:cstheme="majorBidi"/>
          <w:lang w:val="en-US"/>
        </w:rPr>
        <w:t xml:space="preserve"> Hardy-Weinberg equilibrium of genotype frequencies related to homozygous II, heterozygous ID, or homozygous DD genotypes among individuals with COPD, COPD+ HTN, HTN, and controls</w:t>
      </w:r>
    </w:p>
    <w:tbl>
      <w:tblPr>
        <w:tblW w:w="11065" w:type="dxa"/>
        <w:tblInd w:w="-714" w:type="dxa"/>
        <w:tblLook w:val="04A0" w:firstRow="1" w:lastRow="0" w:firstColumn="1" w:lastColumn="0" w:noHBand="0" w:noVBand="1"/>
      </w:tblPr>
      <w:tblGrid>
        <w:gridCol w:w="2194"/>
        <w:gridCol w:w="1074"/>
        <w:gridCol w:w="1111"/>
        <w:gridCol w:w="1074"/>
        <w:gridCol w:w="1111"/>
        <w:gridCol w:w="1074"/>
        <w:gridCol w:w="1111"/>
        <w:gridCol w:w="1074"/>
        <w:gridCol w:w="1242"/>
      </w:tblGrid>
      <w:tr w:rsidR="009859C8" w:rsidRPr="005D7BDA" w14:paraId="26ECA6EA" w14:textId="77777777" w:rsidTr="00400434">
        <w:trPr>
          <w:trHeight w:val="299"/>
        </w:trPr>
        <w:tc>
          <w:tcPr>
            <w:tcW w:w="2194" w:type="dxa"/>
            <w:vMerge w:val="restart"/>
            <w:tcBorders>
              <w:top w:val="single" w:sz="4" w:space="0" w:color="auto"/>
              <w:left w:val="single" w:sz="4" w:space="0" w:color="auto"/>
              <w:bottom w:val="single" w:sz="4" w:space="0" w:color="000000"/>
              <w:right w:val="single" w:sz="4" w:space="0" w:color="auto"/>
            </w:tcBorders>
            <w:noWrap/>
            <w:vAlign w:val="bottom"/>
            <w:hideMark/>
          </w:tcPr>
          <w:p w14:paraId="5E168F41"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Genotype</w:t>
            </w:r>
          </w:p>
        </w:tc>
        <w:tc>
          <w:tcPr>
            <w:tcW w:w="2185" w:type="dxa"/>
            <w:gridSpan w:val="2"/>
            <w:tcBorders>
              <w:top w:val="single" w:sz="4" w:space="0" w:color="auto"/>
              <w:left w:val="nil"/>
              <w:bottom w:val="single" w:sz="4" w:space="0" w:color="auto"/>
              <w:right w:val="single" w:sz="4" w:space="0" w:color="000000"/>
            </w:tcBorders>
            <w:noWrap/>
            <w:vAlign w:val="bottom"/>
            <w:hideMark/>
          </w:tcPr>
          <w:p w14:paraId="22829D09"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COPD</w:t>
            </w:r>
          </w:p>
        </w:tc>
        <w:tc>
          <w:tcPr>
            <w:tcW w:w="2185" w:type="dxa"/>
            <w:gridSpan w:val="2"/>
            <w:tcBorders>
              <w:top w:val="single" w:sz="4" w:space="0" w:color="auto"/>
              <w:left w:val="nil"/>
              <w:bottom w:val="single" w:sz="4" w:space="0" w:color="auto"/>
              <w:right w:val="single" w:sz="4" w:space="0" w:color="000000"/>
            </w:tcBorders>
            <w:noWrap/>
            <w:vAlign w:val="bottom"/>
            <w:hideMark/>
          </w:tcPr>
          <w:p w14:paraId="07CF35BE" w14:textId="65614E76"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COPD</w:t>
            </w:r>
            <w:r w:rsidR="005733A8">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HTN</w:t>
            </w:r>
          </w:p>
        </w:tc>
        <w:tc>
          <w:tcPr>
            <w:tcW w:w="2185" w:type="dxa"/>
            <w:gridSpan w:val="2"/>
            <w:tcBorders>
              <w:top w:val="single" w:sz="4" w:space="0" w:color="auto"/>
              <w:left w:val="nil"/>
              <w:bottom w:val="single" w:sz="4" w:space="0" w:color="auto"/>
              <w:right w:val="single" w:sz="4" w:space="0" w:color="000000"/>
            </w:tcBorders>
            <w:noWrap/>
            <w:vAlign w:val="bottom"/>
            <w:hideMark/>
          </w:tcPr>
          <w:p w14:paraId="334D7AD6"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HTN</w:t>
            </w:r>
          </w:p>
        </w:tc>
        <w:tc>
          <w:tcPr>
            <w:tcW w:w="2316" w:type="dxa"/>
            <w:gridSpan w:val="2"/>
            <w:tcBorders>
              <w:top w:val="single" w:sz="4" w:space="0" w:color="auto"/>
              <w:left w:val="nil"/>
              <w:bottom w:val="single" w:sz="4" w:space="0" w:color="auto"/>
              <w:right w:val="single" w:sz="4" w:space="0" w:color="000000"/>
            </w:tcBorders>
            <w:noWrap/>
            <w:vAlign w:val="bottom"/>
            <w:hideMark/>
          </w:tcPr>
          <w:p w14:paraId="3E6E4227" w14:textId="7FEF79D2" w:rsidR="007E0B33" w:rsidRPr="003314B7" w:rsidRDefault="007E0B33"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C</w:t>
            </w:r>
            <w:r w:rsidR="00C758B8" w:rsidRPr="003314B7">
              <w:rPr>
                <w:rFonts w:asciiTheme="majorBidi" w:eastAsia="Times New Roman" w:hAnsiTheme="majorBidi" w:cstheme="majorBidi"/>
                <w:color w:val="000000"/>
                <w:kern w:val="0"/>
                <w:sz w:val="22"/>
                <w:szCs w:val="22"/>
                <w:lang w:val="en-US" w:eastAsia="en-IN"/>
                <w14:ligatures w14:val="none"/>
              </w:rPr>
              <w:t>ontrol</w:t>
            </w:r>
          </w:p>
        </w:tc>
      </w:tr>
      <w:tr w:rsidR="009859C8" w:rsidRPr="005D7BDA" w14:paraId="68EE5C25" w14:textId="77777777" w:rsidTr="00400434">
        <w:trPr>
          <w:trHeight w:val="320"/>
        </w:trPr>
        <w:tc>
          <w:tcPr>
            <w:tcW w:w="2194" w:type="dxa"/>
            <w:vMerge/>
            <w:tcBorders>
              <w:top w:val="single" w:sz="4" w:space="0" w:color="auto"/>
              <w:left w:val="single" w:sz="4" w:space="0" w:color="auto"/>
              <w:bottom w:val="single" w:sz="4" w:space="0" w:color="000000"/>
              <w:right w:val="single" w:sz="4" w:space="0" w:color="auto"/>
            </w:tcBorders>
            <w:vAlign w:val="center"/>
            <w:hideMark/>
          </w:tcPr>
          <w:p w14:paraId="5FCC2331"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p>
        </w:tc>
        <w:tc>
          <w:tcPr>
            <w:tcW w:w="1074" w:type="dxa"/>
            <w:tcBorders>
              <w:top w:val="nil"/>
              <w:left w:val="nil"/>
              <w:bottom w:val="single" w:sz="4" w:space="0" w:color="auto"/>
              <w:right w:val="single" w:sz="4" w:space="0" w:color="auto"/>
            </w:tcBorders>
            <w:noWrap/>
            <w:vAlign w:val="bottom"/>
            <w:hideMark/>
          </w:tcPr>
          <w:p w14:paraId="356EF3E1"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Observed</w:t>
            </w:r>
          </w:p>
        </w:tc>
        <w:tc>
          <w:tcPr>
            <w:tcW w:w="1111" w:type="dxa"/>
            <w:tcBorders>
              <w:top w:val="nil"/>
              <w:left w:val="nil"/>
              <w:bottom w:val="single" w:sz="4" w:space="0" w:color="auto"/>
              <w:right w:val="single" w:sz="4" w:space="0" w:color="auto"/>
            </w:tcBorders>
            <w:noWrap/>
            <w:vAlign w:val="bottom"/>
            <w:hideMark/>
          </w:tcPr>
          <w:p w14:paraId="7C8ED9D9"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Expected  </w:t>
            </w:r>
          </w:p>
        </w:tc>
        <w:tc>
          <w:tcPr>
            <w:tcW w:w="1074" w:type="dxa"/>
            <w:tcBorders>
              <w:top w:val="nil"/>
              <w:left w:val="nil"/>
              <w:bottom w:val="single" w:sz="4" w:space="0" w:color="auto"/>
              <w:right w:val="single" w:sz="4" w:space="0" w:color="auto"/>
            </w:tcBorders>
            <w:noWrap/>
            <w:vAlign w:val="bottom"/>
            <w:hideMark/>
          </w:tcPr>
          <w:p w14:paraId="0F48553E"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Observed</w:t>
            </w:r>
          </w:p>
        </w:tc>
        <w:tc>
          <w:tcPr>
            <w:tcW w:w="1111" w:type="dxa"/>
            <w:tcBorders>
              <w:top w:val="nil"/>
              <w:left w:val="nil"/>
              <w:bottom w:val="single" w:sz="4" w:space="0" w:color="auto"/>
              <w:right w:val="single" w:sz="4" w:space="0" w:color="auto"/>
            </w:tcBorders>
            <w:noWrap/>
            <w:vAlign w:val="bottom"/>
            <w:hideMark/>
          </w:tcPr>
          <w:p w14:paraId="64FAE54B"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Expected  </w:t>
            </w:r>
          </w:p>
        </w:tc>
        <w:tc>
          <w:tcPr>
            <w:tcW w:w="1074" w:type="dxa"/>
            <w:tcBorders>
              <w:top w:val="nil"/>
              <w:left w:val="nil"/>
              <w:bottom w:val="single" w:sz="4" w:space="0" w:color="auto"/>
              <w:right w:val="single" w:sz="4" w:space="0" w:color="auto"/>
            </w:tcBorders>
            <w:noWrap/>
            <w:vAlign w:val="bottom"/>
            <w:hideMark/>
          </w:tcPr>
          <w:p w14:paraId="083B49D0"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Observed</w:t>
            </w:r>
          </w:p>
        </w:tc>
        <w:tc>
          <w:tcPr>
            <w:tcW w:w="1111" w:type="dxa"/>
            <w:tcBorders>
              <w:top w:val="nil"/>
              <w:left w:val="nil"/>
              <w:bottom w:val="single" w:sz="4" w:space="0" w:color="auto"/>
              <w:right w:val="single" w:sz="4" w:space="0" w:color="auto"/>
            </w:tcBorders>
            <w:noWrap/>
            <w:vAlign w:val="bottom"/>
            <w:hideMark/>
          </w:tcPr>
          <w:p w14:paraId="658B62B0"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Expected  </w:t>
            </w:r>
          </w:p>
        </w:tc>
        <w:tc>
          <w:tcPr>
            <w:tcW w:w="1074" w:type="dxa"/>
            <w:tcBorders>
              <w:top w:val="nil"/>
              <w:left w:val="nil"/>
              <w:bottom w:val="single" w:sz="4" w:space="0" w:color="auto"/>
              <w:right w:val="single" w:sz="4" w:space="0" w:color="auto"/>
            </w:tcBorders>
            <w:noWrap/>
            <w:vAlign w:val="bottom"/>
            <w:hideMark/>
          </w:tcPr>
          <w:p w14:paraId="2F55E7A2"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Observed</w:t>
            </w:r>
          </w:p>
        </w:tc>
        <w:tc>
          <w:tcPr>
            <w:tcW w:w="1242" w:type="dxa"/>
            <w:tcBorders>
              <w:top w:val="nil"/>
              <w:left w:val="nil"/>
              <w:bottom w:val="single" w:sz="4" w:space="0" w:color="auto"/>
              <w:right w:val="single" w:sz="4" w:space="0" w:color="auto"/>
            </w:tcBorders>
            <w:noWrap/>
            <w:vAlign w:val="bottom"/>
            <w:hideMark/>
          </w:tcPr>
          <w:p w14:paraId="0DA408B2" w14:textId="77777777" w:rsidR="007E0B33" w:rsidRPr="003314B7" w:rsidRDefault="007E0B33" w:rsidP="007E0B33">
            <w:pPr>
              <w:spacing w:after="0" w:line="240" w:lineRule="auto"/>
              <w:rPr>
                <w:rFonts w:asciiTheme="majorBidi" w:eastAsia="Times New Roman" w:hAnsiTheme="majorBidi" w:cstheme="majorBidi"/>
                <w:color w:val="000000"/>
                <w:kern w:val="0"/>
                <w:lang w:val="en-US" w:eastAsia="en-IN"/>
                <w14:ligatures w14:val="none"/>
              </w:rPr>
            </w:pPr>
            <w:r w:rsidRPr="003314B7">
              <w:rPr>
                <w:rFonts w:asciiTheme="majorBidi" w:eastAsia="Times New Roman" w:hAnsiTheme="majorBidi" w:cstheme="majorBidi"/>
                <w:color w:val="000000"/>
                <w:kern w:val="0"/>
                <w:lang w:val="en-US" w:eastAsia="en-IN"/>
                <w14:ligatures w14:val="none"/>
              </w:rPr>
              <w:t xml:space="preserve">Expected  </w:t>
            </w:r>
          </w:p>
        </w:tc>
      </w:tr>
      <w:tr w:rsidR="009859C8" w:rsidRPr="005D7BDA" w14:paraId="08C6E23F" w14:textId="77777777" w:rsidTr="00400434">
        <w:trPr>
          <w:trHeight w:val="320"/>
        </w:trPr>
        <w:tc>
          <w:tcPr>
            <w:tcW w:w="2194" w:type="dxa"/>
            <w:tcBorders>
              <w:top w:val="nil"/>
              <w:left w:val="single" w:sz="4" w:space="0" w:color="auto"/>
              <w:bottom w:val="single" w:sz="4" w:space="0" w:color="auto"/>
              <w:right w:val="single" w:sz="4" w:space="0" w:color="auto"/>
            </w:tcBorders>
            <w:noWrap/>
            <w:vAlign w:val="bottom"/>
            <w:hideMark/>
          </w:tcPr>
          <w:p w14:paraId="1B51DC39" w14:textId="513F03E0"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Homozygotes</w:t>
            </w:r>
            <w:r w:rsidR="002768D8" w:rsidRPr="003314B7">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 xml:space="preserve"> II</w:t>
            </w:r>
            <w:r w:rsidR="002768D8" w:rsidRPr="003314B7">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 xml:space="preserve">  </w:t>
            </w:r>
          </w:p>
        </w:tc>
        <w:tc>
          <w:tcPr>
            <w:tcW w:w="1074" w:type="dxa"/>
            <w:tcBorders>
              <w:top w:val="nil"/>
              <w:left w:val="nil"/>
              <w:bottom w:val="single" w:sz="4" w:space="0" w:color="auto"/>
              <w:right w:val="single" w:sz="4" w:space="0" w:color="auto"/>
            </w:tcBorders>
            <w:noWrap/>
            <w:vAlign w:val="bottom"/>
            <w:hideMark/>
          </w:tcPr>
          <w:p w14:paraId="2E7A35F3"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21</w:t>
            </w:r>
          </w:p>
        </w:tc>
        <w:tc>
          <w:tcPr>
            <w:tcW w:w="1111" w:type="dxa"/>
            <w:tcBorders>
              <w:top w:val="nil"/>
              <w:left w:val="nil"/>
              <w:bottom w:val="single" w:sz="4" w:space="0" w:color="auto"/>
              <w:right w:val="single" w:sz="4" w:space="0" w:color="auto"/>
            </w:tcBorders>
            <w:noWrap/>
            <w:vAlign w:val="bottom"/>
            <w:hideMark/>
          </w:tcPr>
          <w:p w14:paraId="21746A72"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16.81</w:t>
            </w:r>
          </w:p>
        </w:tc>
        <w:tc>
          <w:tcPr>
            <w:tcW w:w="1074" w:type="dxa"/>
            <w:tcBorders>
              <w:top w:val="nil"/>
              <w:left w:val="nil"/>
              <w:bottom w:val="single" w:sz="4" w:space="0" w:color="auto"/>
              <w:right w:val="single" w:sz="4" w:space="0" w:color="auto"/>
            </w:tcBorders>
            <w:noWrap/>
            <w:vAlign w:val="bottom"/>
            <w:hideMark/>
          </w:tcPr>
          <w:p w14:paraId="0A244F9D"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30</w:t>
            </w:r>
          </w:p>
        </w:tc>
        <w:tc>
          <w:tcPr>
            <w:tcW w:w="1111" w:type="dxa"/>
            <w:tcBorders>
              <w:top w:val="nil"/>
              <w:left w:val="nil"/>
              <w:bottom w:val="single" w:sz="4" w:space="0" w:color="auto"/>
              <w:right w:val="single" w:sz="4" w:space="0" w:color="auto"/>
            </w:tcBorders>
            <w:noWrap/>
            <w:vAlign w:val="bottom"/>
            <w:hideMark/>
          </w:tcPr>
          <w:p w14:paraId="2E0EF65B"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22.09</w:t>
            </w:r>
          </w:p>
        </w:tc>
        <w:tc>
          <w:tcPr>
            <w:tcW w:w="1074" w:type="dxa"/>
            <w:tcBorders>
              <w:top w:val="nil"/>
              <w:left w:val="nil"/>
              <w:bottom w:val="single" w:sz="4" w:space="0" w:color="auto"/>
              <w:right w:val="single" w:sz="4" w:space="0" w:color="auto"/>
            </w:tcBorders>
            <w:noWrap/>
            <w:vAlign w:val="bottom"/>
            <w:hideMark/>
          </w:tcPr>
          <w:p w14:paraId="0F0DBD01"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38</w:t>
            </w:r>
          </w:p>
        </w:tc>
        <w:tc>
          <w:tcPr>
            <w:tcW w:w="1111" w:type="dxa"/>
            <w:tcBorders>
              <w:top w:val="nil"/>
              <w:left w:val="nil"/>
              <w:bottom w:val="single" w:sz="4" w:space="0" w:color="auto"/>
              <w:right w:val="single" w:sz="4" w:space="0" w:color="auto"/>
            </w:tcBorders>
            <w:noWrap/>
            <w:vAlign w:val="bottom"/>
            <w:hideMark/>
          </w:tcPr>
          <w:p w14:paraId="1D188ED4"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29.16</w:t>
            </w:r>
          </w:p>
        </w:tc>
        <w:tc>
          <w:tcPr>
            <w:tcW w:w="1074" w:type="dxa"/>
            <w:tcBorders>
              <w:top w:val="nil"/>
              <w:left w:val="nil"/>
              <w:bottom w:val="single" w:sz="4" w:space="0" w:color="auto"/>
              <w:right w:val="single" w:sz="4" w:space="0" w:color="auto"/>
            </w:tcBorders>
            <w:noWrap/>
            <w:vAlign w:val="bottom"/>
            <w:hideMark/>
          </w:tcPr>
          <w:p w14:paraId="522C2F16"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31</w:t>
            </w:r>
          </w:p>
        </w:tc>
        <w:tc>
          <w:tcPr>
            <w:tcW w:w="1242" w:type="dxa"/>
            <w:tcBorders>
              <w:top w:val="nil"/>
              <w:left w:val="nil"/>
              <w:bottom w:val="single" w:sz="4" w:space="0" w:color="auto"/>
              <w:right w:val="single" w:sz="4" w:space="0" w:color="auto"/>
            </w:tcBorders>
            <w:noWrap/>
            <w:vAlign w:val="bottom"/>
            <w:hideMark/>
          </w:tcPr>
          <w:p w14:paraId="04173131"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27.56</w:t>
            </w:r>
          </w:p>
        </w:tc>
      </w:tr>
      <w:tr w:rsidR="009859C8" w:rsidRPr="005D7BDA" w14:paraId="2C9BEC8A" w14:textId="77777777" w:rsidTr="00400434">
        <w:trPr>
          <w:trHeight w:val="320"/>
        </w:trPr>
        <w:tc>
          <w:tcPr>
            <w:tcW w:w="2194" w:type="dxa"/>
            <w:tcBorders>
              <w:top w:val="nil"/>
              <w:left w:val="single" w:sz="4" w:space="0" w:color="auto"/>
              <w:bottom w:val="single" w:sz="4" w:space="0" w:color="auto"/>
              <w:right w:val="single" w:sz="4" w:space="0" w:color="auto"/>
            </w:tcBorders>
            <w:noWrap/>
            <w:vAlign w:val="bottom"/>
            <w:hideMark/>
          </w:tcPr>
          <w:p w14:paraId="50E23C44" w14:textId="7984929F"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Heterozygotes </w:t>
            </w:r>
            <w:r w:rsidR="003B0AAD" w:rsidRPr="003314B7">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ID</w:t>
            </w:r>
            <w:r w:rsidR="002768D8" w:rsidRPr="003314B7">
              <w:rPr>
                <w:rFonts w:asciiTheme="majorBidi" w:eastAsia="Times New Roman" w:hAnsiTheme="majorBidi" w:cstheme="majorBidi"/>
                <w:color w:val="000000"/>
                <w:kern w:val="0"/>
                <w:sz w:val="22"/>
                <w:szCs w:val="22"/>
                <w:lang w:val="en-US" w:eastAsia="en-IN"/>
                <w14:ligatures w14:val="none"/>
              </w:rPr>
              <w:t>)</w:t>
            </w:r>
          </w:p>
        </w:tc>
        <w:tc>
          <w:tcPr>
            <w:tcW w:w="1074" w:type="dxa"/>
            <w:tcBorders>
              <w:top w:val="nil"/>
              <w:left w:val="nil"/>
              <w:bottom w:val="single" w:sz="4" w:space="0" w:color="auto"/>
              <w:right w:val="single" w:sz="4" w:space="0" w:color="auto"/>
            </w:tcBorders>
            <w:noWrap/>
            <w:vAlign w:val="bottom"/>
            <w:hideMark/>
          </w:tcPr>
          <w:p w14:paraId="122ECB15"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40</w:t>
            </w:r>
          </w:p>
        </w:tc>
        <w:tc>
          <w:tcPr>
            <w:tcW w:w="1111" w:type="dxa"/>
            <w:tcBorders>
              <w:top w:val="nil"/>
              <w:left w:val="nil"/>
              <w:bottom w:val="single" w:sz="4" w:space="0" w:color="auto"/>
              <w:right w:val="single" w:sz="4" w:space="0" w:color="auto"/>
            </w:tcBorders>
            <w:noWrap/>
            <w:vAlign w:val="bottom"/>
            <w:hideMark/>
          </w:tcPr>
          <w:p w14:paraId="283197F5"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48.38</w:t>
            </w:r>
          </w:p>
        </w:tc>
        <w:tc>
          <w:tcPr>
            <w:tcW w:w="1074" w:type="dxa"/>
            <w:tcBorders>
              <w:top w:val="nil"/>
              <w:left w:val="nil"/>
              <w:bottom w:val="single" w:sz="4" w:space="0" w:color="auto"/>
              <w:right w:val="single" w:sz="4" w:space="0" w:color="auto"/>
            </w:tcBorders>
            <w:noWrap/>
            <w:vAlign w:val="bottom"/>
            <w:hideMark/>
          </w:tcPr>
          <w:p w14:paraId="119F55BE"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34</w:t>
            </w:r>
          </w:p>
        </w:tc>
        <w:tc>
          <w:tcPr>
            <w:tcW w:w="1111" w:type="dxa"/>
            <w:tcBorders>
              <w:top w:val="nil"/>
              <w:left w:val="nil"/>
              <w:bottom w:val="single" w:sz="4" w:space="0" w:color="auto"/>
              <w:right w:val="single" w:sz="4" w:space="0" w:color="auto"/>
            </w:tcBorders>
            <w:noWrap/>
            <w:vAlign w:val="bottom"/>
            <w:hideMark/>
          </w:tcPr>
          <w:p w14:paraId="28A9154B"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49.82</w:t>
            </w:r>
          </w:p>
        </w:tc>
        <w:tc>
          <w:tcPr>
            <w:tcW w:w="1074" w:type="dxa"/>
            <w:tcBorders>
              <w:top w:val="nil"/>
              <w:left w:val="nil"/>
              <w:bottom w:val="single" w:sz="4" w:space="0" w:color="auto"/>
              <w:right w:val="single" w:sz="4" w:space="0" w:color="auto"/>
            </w:tcBorders>
            <w:noWrap/>
            <w:vAlign w:val="bottom"/>
            <w:hideMark/>
          </w:tcPr>
          <w:p w14:paraId="79A2ABB8"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32</w:t>
            </w:r>
          </w:p>
        </w:tc>
        <w:tc>
          <w:tcPr>
            <w:tcW w:w="1111" w:type="dxa"/>
            <w:tcBorders>
              <w:top w:val="nil"/>
              <w:left w:val="nil"/>
              <w:bottom w:val="single" w:sz="4" w:space="0" w:color="auto"/>
              <w:right w:val="single" w:sz="4" w:space="0" w:color="auto"/>
            </w:tcBorders>
            <w:noWrap/>
            <w:vAlign w:val="bottom"/>
            <w:hideMark/>
          </w:tcPr>
          <w:p w14:paraId="70A2AB00"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49.68</w:t>
            </w:r>
          </w:p>
        </w:tc>
        <w:tc>
          <w:tcPr>
            <w:tcW w:w="1074" w:type="dxa"/>
            <w:tcBorders>
              <w:top w:val="nil"/>
              <w:left w:val="nil"/>
              <w:bottom w:val="single" w:sz="4" w:space="0" w:color="auto"/>
              <w:right w:val="single" w:sz="4" w:space="0" w:color="auto"/>
            </w:tcBorders>
            <w:noWrap/>
            <w:vAlign w:val="bottom"/>
            <w:hideMark/>
          </w:tcPr>
          <w:p w14:paraId="2B871444"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43</w:t>
            </w:r>
          </w:p>
        </w:tc>
        <w:tc>
          <w:tcPr>
            <w:tcW w:w="1242" w:type="dxa"/>
            <w:tcBorders>
              <w:top w:val="nil"/>
              <w:left w:val="nil"/>
              <w:bottom w:val="single" w:sz="4" w:space="0" w:color="auto"/>
              <w:right w:val="single" w:sz="4" w:space="0" w:color="auto"/>
            </w:tcBorders>
            <w:noWrap/>
            <w:vAlign w:val="bottom"/>
            <w:hideMark/>
          </w:tcPr>
          <w:p w14:paraId="78213284"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49.88</w:t>
            </w:r>
          </w:p>
        </w:tc>
      </w:tr>
      <w:tr w:rsidR="009859C8" w:rsidRPr="005D7BDA" w14:paraId="2FEAB326" w14:textId="77777777" w:rsidTr="00400434">
        <w:trPr>
          <w:trHeight w:val="320"/>
        </w:trPr>
        <w:tc>
          <w:tcPr>
            <w:tcW w:w="2194" w:type="dxa"/>
            <w:tcBorders>
              <w:top w:val="nil"/>
              <w:left w:val="single" w:sz="4" w:space="0" w:color="auto"/>
              <w:bottom w:val="single" w:sz="4" w:space="0" w:color="auto"/>
              <w:right w:val="single" w:sz="4" w:space="0" w:color="auto"/>
            </w:tcBorders>
            <w:noWrap/>
            <w:vAlign w:val="bottom"/>
            <w:hideMark/>
          </w:tcPr>
          <w:p w14:paraId="74CE23E6" w14:textId="6DF9CD54"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Homozygotes </w:t>
            </w:r>
            <w:r w:rsidR="003B0AAD" w:rsidRPr="003314B7">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DD</w:t>
            </w:r>
            <w:r w:rsidR="003B0AAD" w:rsidRPr="003314B7">
              <w:rPr>
                <w:rFonts w:asciiTheme="majorBidi" w:eastAsia="Times New Roman" w:hAnsiTheme="majorBidi" w:cstheme="majorBidi"/>
                <w:color w:val="000000"/>
                <w:kern w:val="0"/>
                <w:sz w:val="22"/>
                <w:szCs w:val="22"/>
                <w:lang w:val="en-US" w:eastAsia="en-IN"/>
                <w14:ligatures w14:val="none"/>
              </w:rPr>
              <w:t>)</w:t>
            </w:r>
          </w:p>
        </w:tc>
        <w:tc>
          <w:tcPr>
            <w:tcW w:w="1074" w:type="dxa"/>
            <w:tcBorders>
              <w:top w:val="nil"/>
              <w:left w:val="nil"/>
              <w:bottom w:val="nil"/>
              <w:right w:val="single" w:sz="4" w:space="0" w:color="auto"/>
            </w:tcBorders>
            <w:noWrap/>
            <w:vAlign w:val="bottom"/>
            <w:hideMark/>
          </w:tcPr>
          <w:p w14:paraId="2344307C"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39</w:t>
            </w:r>
          </w:p>
        </w:tc>
        <w:tc>
          <w:tcPr>
            <w:tcW w:w="1111" w:type="dxa"/>
            <w:tcBorders>
              <w:top w:val="nil"/>
              <w:left w:val="nil"/>
              <w:bottom w:val="nil"/>
              <w:right w:val="single" w:sz="4" w:space="0" w:color="auto"/>
            </w:tcBorders>
            <w:noWrap/>
            <w:vAlign w:val="bottom"/>
            <w:hideMark/>
          </w:tcPr>
          <w:p w14:paraId="0A04B754"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34.81</w:t>
            </w:r>
          </w:p>
        </w:tc>
        <w:tc>
          <w:tcPr>
            <w:tcW w:w="1074" w:type="dxa"/>
            <w:tcBorders>
              <w:top w:val="nil"/>
              <w:left w:val="nil"/>
              <w:bottom w:val="nil"/>
              <w:right w:val="single" w:sz="4" w:space="0" w:color="auto"/>
            </w:tcBorders>
            <w:noWrap/>
            <w:vAlign w:val="bottom"/>
            <w:hideMark/>
          </w:tcPr>
          <w:p w14:paraId="71F9C06B"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36</w:t>
            </w:r>
          </w:p>
        </w:tc>
        <w:tc>
          <w:tcPr>
            <w:tcW w:w="1111" w:type="dxa"/>
            <w:tcBorders>
              <w:top w:val="nil"/>
              <w:left w:val="nil"/>
              <w:bottom w:val="nil"/>
              <w:right w:val="single" w:sz="4" w:space="0" w:color="auto"/>
            </w:tcBorders>
            <w:noWrap/>
            <w:vAlign w:val="bottom"/>
            <w:hideMark/>
          </w:tcPr>
          <w:p w14:paraId="1557BDD6"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28.09</w:t>
            </w:r>
          </w:p>
        </w:tc>
        <w:tc>
          <w:tcPr>
            <w:tcW w:w="1074" w:type="dxa"/>
            <w:tcBorders>
              <w:top w:val="nil"/>
              <w:left w:val="nil"/>
              <w:bottom w:val="nil"/>
              <w:right w:val="single" w:sz="4" w:space="0" w:color="auto"/>
            </w:tcBorders>
            <w:noWrap/>
            <w:vAlign w:val="bottom"/>
            <w:hideMark/>
          </w:tcPr>
          <w:p w14:paraId="621A830C"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30</w:t>
            </w:r>
          </w:p>
        </w:tc>
        <w:tc>
          <w:tcPr>
            <w:tcW w:w="1111" w:type="dxa"/>
            <w:tcBorders>
              <w:top w:val="nil"/>
              <w:left w:val="nil"/>
              <w:bottom w:val="nil"/>
              <w:right w:val="single" w:sz="4" w:space="0" w:color="auto"/>
            </w:tcBorders>
            <w:noWrap/>
            <w:vAlign w:val="bottom"/>
            <w:hideMark/>
          </w:tcPr>
          <w:p w14:paraId="2E224810" w14:textId="7AD54624"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2.16</w:t>
            </w:r>
            <w:r w:rsidR="006B23B8">
              <w:rPr>
                <w:rFonts w:asciiTheme="majorBidi" w:eastAsia="Times New Roman" w:hAnsiTheme="majorBidi" w:cstheme="majorBidi"/>
                <w:color w:val="000000"/>
                <w:kern w:val="0"/>
                <w:sz w:val="22"/>
                <w:szCs w:val="22"/>
                <w:lang w:val="en-US" w:eastAsia="en-IN"/>
                <w14:ligatures w14:val="none"/>
              </w:rPr>
              <w:t>0</w:t>
            </w:r>
          </w:p>
        </w:tc>
        <w:tc>
          <w:tcPr>
            <w:tcW w:w="1074" w:type="dxa"/>
            <w:tcBorders>
              <w:top w:val="nil"/>
              <w:left w:val="nil"/>
              <w:bottom w:val="nil"/>
              <w:right w:val="single" w:sz="4" w:space="0" w:color="auto"/>
            </w:tcBorders>
            <w:noWrap/>
            <w:vAlign w:val="bottom"/>
            <w:hideMark/>
          </w:tcPr>
          <w:p w14:paraId="74336C72"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26</w:t>
            </w:r>
          </w:p>
        </w:tc>
        <w:tc>
          <w:tcPr>
            <w:tcW w:w="1242" w:type="dxa"/>
            <w:tcBorders>
              <w:top w:val="nil"/>
              <w:left w:val="nil"/>
              <w:bottom w:val="nil"/>
              <w:right w:val="single" w:sz="4" w:space="0" w:color="auto"/>
            </w:tcBorders>
            <w:noWrap/>
            <w:vAlign w:val="bottom"/>
            <w:hideMark/>
          </w:tcPr>
          <w:p w14:paraId="73D43B0F"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22.56</w:t>
            </w:r>
          </w:p>
        </w:tc>
      </w:tr>
      <w:tr w:rsidR="009859C8" w:rsidRPr="005D7BDA" w14:paraId="1E008512" w14:textId="77777777" w:rsidTr="00400434">
        <w:trPr>
          <w:trHeight w:val="299"/>
        </w:trPr>
        <w:tc>
          <w:tcPr>
            <w:tcW w:w="2194" w:type="dxa"/>
            <w:tcBorders>
              <w:top w:val="nil"/>
              <w:left w:val="single" w:sz="4" w:space="0" w:color="auto"/>
              <w:bottom w:val="single" w:sz="4" w:space="0" w:color="auto"/>
              <w:right w:val="single" w:sz="4" w:space="0" w:color="auto"/>
            </w:tcBorders>
            <w:noWrap/>
            <w:vAlign w:val="bottom"/>
            <w:hideMark/>
          </w:tcPr>
          <w:p w14:paraId="59E786A7"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Allele frequency</w:t>
            </w:r>
          </w:p>
        </w:tc>
        <w:tc>
          <w:tcPr>
            <w:tcW w:w="1074" w:type="dxa"/>
            <w:tcBorders>
              <w:top w:val="single" w:sz="4" w:space="0" w:color="auto"/>
              <w:left w:val="nil"/>
              <w:bottom w:val="single" w:sz="4" w:space="0" w:color="auto"/>
              <w:right w:val="single" w:sz="4" w:space="0" w:color="auto"/>
            </w:tcBorders>
            <w:noWrap/>
            <w:vAlign w:val="bottom"/>
            <w:hideMark/>
          </w:tcPr>
          <w:p w14:paraId="2225AA4F"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w:t>
            </w:r>
          </w:p>
        </w:tc>
        <w:tc>
          <w:tcPr>
            <w:tcW w:w="1111" w:type="dxa"/>
            <w:tcBorders>
              <w:top w:val="single" w:sz="4" w:space="0" w:color="auto"/>
              <w:left w:val="nil"/>
              <w:bottom w:val="single" w:sz="4" w:space="0" w:color="auto"/>
              <w:right w:val="single" w:sz="4" w:space="0" w:color="auto"/>
            </w:tcBorders>
            <w:noWrap/>
            <w:vAlign w:val="bottom"/>
            <w:hideMark/>
          </w:tcPr>
          <w:p w14:paraId="1A0352EC" w14:textId="425C3709" w:rsidR="007E0B33" w:rsidRPr="003314B7" w:rsidRDefault="00445DC6"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Pr>
                <w:rFonts w:asciiTheme="majorBidi" w:eastAsia="Times New Roman" w:hAnsiTheme="majorBidi" w:cstheme="majorBidi"/>
                <w:color w:val="000000"/>
                <w:kern w:val="0"/>
                <w:sz w:val="22"/>
                <w:szCs w:val="22"/>
                <w:lang w:val="en-US" w:eastAsia="en-IN"/>
                <w14:ligatures w14:val="none"/>
              </w:rPr>
              <w:t>n</w:t>
            </w:r>
          </w:p>
        </w:tc>
        <w:tc>
          <w:tcPr>
            <w:tcW w:w="1074" w:type="dxa"/>
            <w:tcBorders>
              <w:top w:val="single" w:sz="4" w:space="0" w:color="auto"/>
              <w:left w:val="nil"/>
              <w:bottom w:val="single" w:sz="4" w:space="0" w:color="auto"/>
              <w:right w:val="single" w:sz="4" w:space="0" w:color="auto"/>
            </w:tcBorders>
            <w:noWrap/>
            <w:vAlign w:val="bottom"/>
            <w:hideMark/>
          </w:tcPr>
          <w:p w14:paraId="0C90E062"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w:t>
            </w:r>
          </w:p>
        </w:tc>
        <w:tc>
          <w:tcPr>
            <w:tcW w:w="1111" w:type="dxa"/>
            <w:tcBorders>
              <w:top w:val="single" w:sz="4" w:space="0" w:color="auto"/>
              <w:left w:val="nil"/>
              <w:bottom w:val="single" w:sz="4" w:space="0" w:color="auto"/>
              <w:right w:val="single" w:sz="4" w:space="0" w:color="auto"/>
            </w:tcBorders>
            <w:noWrap/>
            <w:vAlign w:val="bottom"/>
            <w:hideMark/>
          </w:tcPr>
          <w:p w14:paraId="2CFCCF5E"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n</w:t>
            </w:r>
          </w:p>
        </w:tc>
        <w:tc>
          <w:tcPr>
            <w:tcW w:w="1074" w:type="dxa"/>
            <w:tcBorders>
              <w:top w:val="single" w:sz="4" w:space="0" w:color="auto"/>
              <w:left w:val="nil"/>
              <w:bottom w:val="single" w:sz="4" w:space="0" w:color="auto"/>
              <w:right w:val="single" w:sz="4" w:space="0" w:color="auto"/>
            </w:tcBorders>
            <w:noWrap/>
            <w:vAlign w:val="bottom"/>
            <w:hideMark/>
          </w:tcPr>
          <w:p w14:paraId="79AC12BA"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w:t>
            </w:r>
          </w:p>
        </w:tc>
        <w:tc>
          <w:tcPr>
            <w:tcW w:w="1111" w:type="dxa"/>
            <w:tcBorders>
              <w:top w:val="single" w:sz="4" w:space="0" w:color="auto"/>
              <w:left w:val="nil"/>
              <w:bottom w:val="single" w:sz="4" w:space="0" w:color="auto"/>
              <w:right w:val="single" w:sz="4" w:space="0" w:color="auto"/>
            </w:tcBorders>
            <w:noWrap/>
            <w:vAlign w:val="bottom"/>
            <w:hideMark/>
          </w:tcPr>
          <w:p w14:paraId="595751A5"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n</w:t>
            </w:r>
          </w:p>
        </w:tc>
        <w:tc>
          <w:tcPr>
            <w:tcW w:w="1074" w:type="dxa"/>
            <w:tcBorders>
              <w:top w:val="single" w:sz="4" w:space="0" w:color="auto"/>
              <w:left w:val="nil"/>
              <w:bottom w:val="single" w:sz="4" w:space="0" w:color="auto"/>
              <w:right w:val="single" w:sz="4" w:space="0" w:color="auto"/>
            </w:tcBorders>
            <w:noWrap/>
            <w:vAlign w:val="bottom"/>
            <w:hideMark/>
          </w:tcPr>
          <w:p w14:paraId="05E40C53"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w:t>
            </w:r>
          </w:p>
        </w:tc>
        <w:tc>
          <w:tcPr>
            <w:tcW w:w="1242" w:type="dxa"/>
            <w:tcBorders>
              <w:top w:val="single" w:sz="4" w:space="0" w:color="auto"/>
              <w:left w:val="nil"/>
              <w:bottom w:val="single" w:sz="4" w:space="0" w:color="auto"/>
              <w:right w:val="single" w:sz="4" w:space="0" w:color="auto"/>
            </w:tcBorders>
            <w:noWrap/>
            <w:vAlign w:val="bottom"/>
            <w:hideMark/>
          </w:tcPr>
          <w:p w14:paraId="18B9766A"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n</w:t>
            </w:r>
          </w:p>
        </w:tc>
      </w:tr>
      <w:tr w:rsidR="009859C8" w:rsidRPr="005D7BDA" w14:paraId="0446569A" w14:textId="77777777" w:rsidTr="00400434">
        <w:trPr>
          <w:trHeight w:val="299"/>
        </w:trPr>
        <w:tc>
          <w:tcPr>
            <w:tcW w:w="2194" w:type="dxa"/>
            <w:tcBorders>
              <w:top w:val="nil"/>
              <w:left w:val="single" w:sz="4" w:space="0" w:color="auto"/>
              <w:bottom w:val="single" w:sz="4" w:space="0" w:color="auto"/>
              <w:right w:val="single" w:sz="4" w:space="0" w:color="auto"/>
            </w:tcBorders>
            <w:noWrap/>
            <w:vAlign w:val="bottom"/>
            <w:hideMark/>
          </w:tcPr>
          <w:p w14:paraId="14FDBEBC"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ACE I allele</w:t>
            </w:r>
          </w:p>
        </w:tc>
        <w:tc>
          <w:tcPr>
            <w:tcW w:w="1074" w:type="dxa"/>
            <w:tcBorders>
              <w:top w:val="nil"/>
              <w:left w:val="nil"/>
              <w:bottom w:val="single" w:sz="4" w:space="0" w:color="auto"/>
              <w:right w:val="single" w:sz="4" w:space="0" w:color="auto"/>
            </w:tcBorders>
            <w:noWrap/>
            <w:vAlign w:val="bottom"/>
            <w:hideMark/>
          </w:tcPr>
          <w:p w14:paraId="658AF8CD"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41</w:t>
            </w:r>
          </w:p>
        </w:tc>
        <w:tc>
          <w:tcPr>
            <w:tcW w:w="1111" w:type="dxa"/>
            <w:tcBorders>
              <w:top w:val="nil"/>
              <w:left w:val="nil"/>
              <w:bottom w:val="single" w:sz="4" w:space="0" w:color="auto"/>
              <w:right w:val="single" w:sz="4" w:space="0" w:color="auto"/>
            </w:tcBorders>
            <w:noWrap/>
            <w:vAlign w:val="bottom"/>
            <w:hideMark/>
          </w:tcPr>
          <w:p w14:paraId="1F77CDC1"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82</w:t>
            </w:r>
          </w:p>
        </w:tc>
        <w:tc>
          <w:tcPr>
            <w:tcW w:w="1074" w:type="dxa"/>
            <w:tcBorders>
              <w:top w:val="nil"/>
              <w:left w:val="nil"/>
              <w:bottom w:val="single" w:sz="4" w:space="0" w:color="auto"/>
              <w:right w:val="single" w:sz="4" w:space="0" w:color="auto"/>
            </w:tcBorders>
            <w:noWrap/>
            <w:vAlign w:val="bottom"/>
            <w:hideMark/>
          </w:tcPr>
          <w:p w14:paraId="521D3390"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47</w:t>
            </w:r>
          </w:p>
        </w:tc>
        <w:tc>
          <w:tcPr>
            <w:tcW w:w="1111" w:type="dxa"/>
            <w:tcBorders>
              <w:top w:val="nil"/>
              <w:left w:val="nil"/>
              <w:bottom w:val="single" w:sz="4" w:space="0" w:color="auto"/>
              <w:right w:val="single" w:sz="4" w:space="0" w:color="auto"/>
            </w:tcBorders>
            <w:noWrap/>
            <w:vAlign w:val="bottom"/>
            <w:hideMark/>
          </w:tcPr>
          <w:p w14:paraId="454FFBF8"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94</w:t>
            </w:r>
          </w:p>
        </w:tc>
        <w:tc>
          <w:tcPr>
            <w:tcW w:w="1074" w:type="dxa"/>
            <w:tcBorders>
              <w:top w:val="nil"/>
              <w:left w:val="nil"/>
              <w:bottom w:val="single" w:sz="4" w:space="0" w:color="auto"/>
              <w:right w:val="single" w:sz="4" w:space="0" w:color="auto"/>
            </w:tcBorders>
            <w:noWrap/>
            <w:vAlign w:val="bottom"/>
            <w:hideMark/>
          </w:tcPr>
          <w:p w14:paraId="28823F13"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54</w:t>
            </w:r>
          </w:p>
        </w:tc>
        <w:tc>
          <w:tcPr>
            <w:tcW w:w="1111" w:type="dxa"/>
            <w:tcBorders>
              <w:top w:val="nil"/>
              <w:left w:val="nil"/>
              <w:bottom w:val="single" w:sz="4" w:space="0" w:color="auto"/>
              <w:right w:val="single" w:sz="4" w:space="0" w:color="auto"/>
            </w:tcBorders>
            <w:noWrap/>
            <w:vAlign w:val="bottom"/>
            <w:hideMark/>
          </w:tcPr>
          <w:p w14:paraId="27BA778C"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108</w:t>
            </w:r>
          </w:p>
        </w:tc>
        <w:tc>
          <w:tcPr>
            <w:tcW w:w="1074" w:type="dxa"/>
            <w:tcBorders>
              <w:top w:val="nil"/>
              <w:left w:val="nil"/>
              <w:bottom w:val="single" w:sz="4" w:space="0" w:color="auto"/>
              <w:right w:val="single" w:sz="4" w:space="0" w:color="auto"/>
            </w:tcBorders>
            <w:noWrap/>
            <w:vAlign w:val="bottom"/>
            <w:hideMark/>
          </w:tcPr>
          <w:p w14:paraId="3788FFD0"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52.5</w:t>
            </w:r>
          </w:p>
        </w:tc>
        <w:tc>
          <w:tcPr>
            <w:tcW w:w="1242" w:type="dxa"/>
            <w:tcBorders>
              <w:top w:val="nil"/>
              <w:left w:val="nil"/>
              <w:bottom w:val="single" w:sz="4" w:space="0" w:color="auto"/>
              <w:right w:val="single" w:sz="4" w:space="0" w:color="auto"/>
            </w:tcBorders>
            <w:noWrap/>
            <w:vAlign w:val="bottom"/>
            <w:hideMark/>
          </w:tcPr>
          <w:p w14:paraId="1DCAB31E"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105</w:t>
            </w:r>
          </w:p>
        </w:tc>
      </w:tr>
      <w:tr w:rsidR="009859C8" w:rsidRPr="005D7BDA" w14:paraId="0BAD5F64" w14:textId="77777777" w:rsidTr="00400434">
        <w:trPr>
          <w:trHeight w:val="299"/>
        </w:trPr>
        <w:tc>
          <w:tcPr>
            <w:tcW w:w="2194" w:type="dxa"/>
            <w:tcBorders>
              <w:top w:val="nil"/>
              <w:left w:val="single" w:sz="4" w:space="0" w:color="auto"/>
              <w:bottom w:val="single" w:sz="4" w:space="0" w:color="auto"/>
              <w:right w:val="single" w:sz="4" w:space="0" w:color="auto"/>
            </w:tcBorders>
            <w:noWrap/>
            <w:vAlign w:val="bottom"/>
            <w:hideMark/>
          </w:tcPr>
          <w:p w14:paraId="1974F71D" w14:textId="610BF1F6"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ACE D allele</w:t>
            </w:r>
          </w:p>
        </w:tc>
        <w:tc>
          <w:tcPr>
            <w:tcW w:w="1074" w:type="dxa"/>
            <w:tcBorders>
              <w:top w:val="nil"/>
              <w:left w:val="nil"/>
              <w:bottom w:val="single" w:sz="4" w:space="0" w:color="auto"/>
              <w:right w:val="single" w:sz="4" w:space="0" w:color="auto"/>
            </w:tcBorders>
            <w:noWrap/>
            <w:vAlign w:val="bottom"/>
            <w:hideMark/>
          </w:tcPr>
          <w:p w14:paraId="3738CA9C"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59</w:t>
            </w:r>
          </w:p>
        </w:tc>
        <w:tc>
          <w:tcPr>
            <w:tcW w:w="1111" w:type="dxa"/>
            <w:tcBorders>
              <w:top w:val="nil"/>
              <w:left w:val="nil"/>
              <w:bottom w:val="single" w:sz="4" w:space="0" w:color="auto"/>
              <w:right w:val="single" w:sz="4" w:space="0" w:color="auto"/>
            </w:tcBorders>
            <w:noWrap/>
            <w:vAlign w:val="bottom"/>
            <w:hideMark/>
          </w:tcPr>
          <w:p w14:paraId="18C1898F"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118</w:t>
            </w:r>
          </w:p>
        </w:tc>
        <w:tc>
          <w:tcPr>
            <w:tcW w:w="1074" w:type="dxa"/>
            <w:tcBorders>
              <w:top w:val="nil"/>
              <w:left w:val="nil"/>
              <w:bottom w:val="single" w:sz="4" w:space="0" w:color="auto"/>
              <w:right w:val="single" w:sz="4" w:space="0" w:color="auto"/>
            </w:tcBorders>
            <w:noWrap/>
            <w:vAlign w:val="bottom"/>
            <w:hideMark/>
          </w:tcPr>
          <w:p w14:paraId="53C6DFFB"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53</w:t>
            </w:r>
          </w:p>
        </w:tc>
        <w:tc>
          <w:tcPr>
            <w:tcW w:w="1111" w:type="dxa"/>
            <w:tcBorders>
              <w:top w:val="nil"/>
              <w:left w:val="nil"/>
              <w:bottom w:val="single" w:sz="4" w:space="0" w:color="auto"/>
              <w:right w:val="single" w:sz="4" w:space="0" w:color="auto"/>
            </w:tcBorders>
            <w:noWrap/>
            <w:vAlign w:val="bottom"/>
            <w:hideMark/>
          </w:tcPr>
          <w:p w14:paraId="0F8B8065"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106</w:t>
            </w:r>
          </w:p>
        </w:tc>
        <w:tc>
          <w:tcPr>
            <w:tcW w:w="1074" w:type="dxa"/>
            <w:tcBorders>
              <w:top w:val="nil"/>
              <w:left w:val="nil"/>
              <w:bottom w:val="single" w:sz="4" w:space="0" w:color="auto"/>
              <w:right w:val="single" w:sz="4" w:space="0" w:color="auto"/>
            </w:tcBorders>
            <w:noWrap/>
            <w:vAlign w:val="bottom"/>
            <w:hideMark/>
          </w:tcPr>
          <w:p w14:paraId="75C95EDB"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46</w:t>
            </w:r>
          </w:p>
        </w:tc>
        <w:tc>
          <w:tcPr>
            <w:tcW w:w="1111" w:type="dxa"/>
            <w:tcBorders>
              <w:top w:val="nil"/>
              <w:left w:val="nil"/>
              <w:bottom w:val="single" w:sz="4" w:space="0" w:color="auto"/>
              <w:right w:val="single" w:sz="4" w:space="0" w:color="auto"/>
            </w:tcBorders>
            <w:noWrap/>
            <w:vAlign w:val="bottom"/>
            <w:hideMark/>
          </w:tcPr>
          <w:p w14:paraId="4948F24A"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92</w:t>
            </w:r>
          </w:p>
        </w:tc>
        <w:tc>
          <w:tcPr>
            <w:tcW w:w="1074" w:type="dxa"/>
            <w:tcBorders>
              <w:top w:val="nil"/>
              <w:left w:val="nil"/>
              <w:bottom w:val="single" w:sz="4" w:space="0" w:color="auto"/>
              <w:right w:val="single" w:sz="4" w:space="0" w:color="auto"/>
            </w:tcBorders>
            <w:noWrap/>
            <w:vAlign w:val="bottom"/>
            <w:hideMark/>
          </w:tcPr>
          <w:p w14:paraId="0E83EF1B"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47.5</w:t>
            </w:r>
          </w:p>
        </w:tc>
        <w:tc>
          <w:tcPr>
            <w:tcW w:w="1242" w:type="dxa"/>
            <w:tcBorders>
              <w:top w:val="nil"/>
              <w:left w:val="nil"/>
              <w:bottom w:val="single" w:sz="4" w:space="0" w:color="auto"/>
              <w:right w:val="single" w:sz="4" w:space="0" w:color="auto"/>
            </w:tcBorders>
            <w:noWrap/>
            <w:vAlign w:val="bottom"/>
            <w:hideMark/>
          </w:tcPr>
          <w:p w14:paraId="767899B3" w14:textId="77777777" w:rsidR="007E0B33" w:rsidRPr="003314B7" w:rsidRDefault="007E0B33" w:rsidP="003314B7">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95</w:t>
            </w:r>
          </w:p>
        </w:tc>
      </w:tr>
      <w:tr w:rsidR="009859C8" w:rsidRPr="005D7BDA" w14:paraId="6BEED6AF" w14:textId="77777777" w:rsidTr="00400434">
        <w:trPr>
          <w:trHeight w:val="299"/>
        </w:trPr>
        <w:tc>
          <w:tcPr>
            <w:tcW w:w="2194" w:type="dxa"/>
            <w:tcBorders>
              <w:top w:val="nil"/>
              <w:left w:val="single" w:sz="4" w:space="0" w:color="auto"/>
              <w:bottom w:val="single" w:sz="4" w:space="0" w:color="auto"/>
              <w:right w:val="single" w:sz="4" w:space="0" w:color="auto"/>
            </w:tcBorders>
            <w:noWrap/>
            <w:vAlign w:val="bottom"/>
            <w:hideMark/>
          </w:tcPr>
          <w:p w14:paraId="15314072" w14:textId="324D57E4"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Chi-square </w:t>
            </w:r>
            <w:r w:rsidR="005D7BDA">
              <w:rPr>
                <w:rFonts w:asciiTheme="majorBidi" w:eastAsia="Times New Roman" w:hAnsiTheme="majorBidi" w:cstheme="majorBidi"/>
                <w:color w:val="000000"/>
                <w:kern w:val="0"/>
                <w:sz w:val="22"/>
                <w:szCs w:val="22"/>
                <w:lang w:val="en-US" w:eastAsia="en-IN"/>
                <w14:ligatures w14:val="none"/>
              </w:rPr>
              <w:t>p</w:t>
            </w:r>
            <w:r w:rsidRPr="003314B7">
              <w:rPr>
                <w:rFonts w:asciiTheme="majorBidi" w:eastAsia="Times New Roman" w:hAnsiTheme="majorBidi" w:cstheme="majorBidi"/>
                <w:color w:val="000000"/>
                <w:kern w:val="0"/>
                <w:sz w:val="22"/>
                <w:szCs w:val="22"/>
                <w:lang w:val="en-US" w:eastAsia="en-IN"/>
                <w14:ligatures w14:val="none"/>
              </w:rPr>
              <w:t>-</w:t>
            </w:r>
            <w:r w:rsidR="005D7BDA">
              <w:rPr>
                <w:rFonts w:asciiTheme="majorBidi" w:eastAsia="Times New Roman" w:hAnsiTheme="majorBidi" w:cstheme="majorBidi"/>
                <w:color w:val="000000"/>
                <w:kern w:val="0"/>
                <w:sz w:val="22"/>
                <w:szCs w:val="22"/>
                <w:lang w:val="en-US" w:eastAsia="en-IN"/>
                <w14:ligatures w14:val="none"/>
              </w:rPr>
              <w:t>v</w:t>
            </w:r>
            <w:r w:rsidRPr="003314B7">
              <w:rPr>
                <w:rFonts w:asciiTheme="majorBidi" w:eastAsia="Times New Roman" w:hAnsiTheme="majorBidi" w:cstheme="majorBidi"/>
                <w:color w:val="000000"/>
                <w:kern w:val="0"/>
                <w:sz w:val="22"/>
                <w:szCs w:val="22"/>
                <w:lang w:val="en-US" w:eastAsia="en-IN"/>
                <w14:ligatures w14:val="none"/>
              </w:rPr>
              <w:t xml:space="preserve">alue </w:t>
            </w:r>
          </w:p>
        </w:tc>
        <w:tc>
          <w:tcPr>
            <w:tcW w:w="2185" w:type="dxa"/>
            <w:gridSpan w:val="2"/>
            <w:tcBorders>
              <w:top w:val="single" w:sz="4" w:space="0" w:color="auto"/>
              <w:left w:val="nil"/>
              <w:bottom w:val="single" w:sz="4" w:space="0" w:color="auto"/>
              <w:right w:val="single" w:sz="4" w:space="0" w:color="000000"/>
            </w:tcBorders>
            <w:noWrap/>
            <w:vAlign w:val="bottom"/>
            <w:hideMark/>
          </w:tcPr>
          <w:p w14:paraId="1D8202F9"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0.0833</w:t>
            </w:r>
          </w:p>
        </w:tc>
        <w:tc>
          <w:tcPr>
            <w:tcW w:w="2185" w:type="dxa"/>
            <w:gridSpan w:val="2"/>
            <w:tcBorders>
              <w:top w:val="single" w:sz="4" w:space="0" w:color="auto"/>
              <w:left w:val="nil"/>
              <w:bottom w:val="single" w:sz="4" w:space="0" w:color="auto"/>
              <w:right w:val="single" w:sz="4" w:space="0" w:color="000000"/>
            </w:tcBorders>
            <w:noWrap/>
            <w:vAlign w:val="bottom"/>
            <w:hideMark/>
          </w:tcPr>
          <w:p w14:paraId="1FB8CEB8"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0.0015</w:t>
            </w:r>
          </w:p>
        </w:tc>
        <w:tc>
          <w:tcPr>
            <w:tcW w:w="2185" w:type="dxa"/>
            <w:gridSpan w:val="2"/>
            <w:tcBorders>
              <w:top w:val="single" w:sz="4" w:space="0" w:color="auto"/>
              <w:left w:val="nil"/>
              <w:bottom w:val="single" w:sz="4" w:space="0" w:color="auto"/>
              <w:right w:val="single" w:sz="4" w:space="0" w:color="000000"/>
            </w:tcBorders>
            <w:noWrap/>
            <w:vAlign w:val="bottom"/>
            <w:hideMark/>
          </w:tcPr>
          <w:p w14:paraId="0FDF2E88"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0.0004</w:t>
            </w:r>
          </w:p>
        </w:tc>
        <w:tc>
          <w:tcPr>
            <w:tcW w:w="2316" w:type="dxa"/>
            <w:gridSpan w:val="2"/>
            <w:tcBorders>
              <w:top w:val="single" w:sz="4" w:space="0" w:color="auto"/>
              <w:left w:val="nil"/>
              <w:bottom w:val="single" w:sz="4" w:space="0" w:color="auto"/>
              <w:right w:val="single" w:sz="4" w:space="0" w:color="000000"/>
            </w:tcBorders>
            <w:noWrap/>
            <w:vAlign w:val="bottom"/>
            <w:hideMark/>
          </w:tcPr>
          <w:p w14:paraId="0008C80A" w14:textId="77777777" w:rsidR="007E0B33" w:rsidRPr="003314B7" w:rsidRDefault="007E0B33" w:rsidP="007E0B33">
            <w:pPr>
              <w:spacing w:after="0" w:line="240" w:lineRule="auto"/>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0.1681</w:t>
            </w:r>
          </w:p>
        </w:tc>
      </w:tr>
    </w:tbl>
    <w:p w14:paraId="50CDC730" w14:textId="7E71EE49" w:rsidR="007E0B33" w:rsidRPr="003314B7" w:rsidRDefault="00FE0460" w:rsidP="001C40FD">
      <w:pPr>
        <w:jc w:val="both"/>
        <w:rPr>
          <w:rFonts w:asciiTheme="majorBidi" w:hAnsiTheme="majorBidi" w:cstheme="majorBidi"/>
          <w:sz w:val="20"/>
          <w:szCs w:val="20"/>
          <w:lang w:val="en-US"/>
        </w:rPr>
      </w:pPr>
      <w:r w:rsidRPr="003314B7">
        <w:rPr>
          <w:rFonts w:asciiTheme="majorBidi" w:hAnsiTheme="majorBidi" w:cstheme="majorBidi"/>
          <w:sz w:val="20"/>
          <w:szCs w:val="20"/>
          <w:lang w:val="en-US"/>
        </w:rPr>
        <w:t>%: percentage; n: number</w:t>
      </w:r>
    </w:p>
    <w:p w14:paraId="192075AF" w14:textId="77777777" w:rsidR="003C66DB" w:rsidRPr="003314B7" w:rsidRDefault="003C66DB" w:rsidP="00A54D20">
      <w:pPr>
        <w:jc w:val="both"/>
        <w:rPr>
          <w:b/>
          <w:bCs/>
          <w:lang w:val="en-US"/>
        </w:rPr>
      </w:pPr>
    </w:p>
    <w:p w14:paraId="0BEF38F4" w14:textId="75A6CFC1" w:rsidR="001C40FD" w:rsidRPr="005D7BDA" w:rsidRDefault="001C40FD" w:rsidP="00A54D20">
      <w:pPr>
        <w:jc w:val="both"/>
        <w:rPr>
          <w:rFonts w:ascii="Arial" w:eastAsia="Times New Roman" w:hAnsi="Arial" w:cs="Arial"/>
          <w:color w:val="000000"/>
          <w:kern w:val="0"/>
          <w:sz w:val="20"/>
          <w:szCs w:val="20"/>
          <w:lang w:val="en-US" w:eastAsia="en-IN"/>
          <w14:ligatures w14:val="none"/>
        </w:rPr>
      </w:pPr>
      <w:r w:rsidRPr="003314B7">
        <w:rPr>
          <w:rFonts w:asciiTheme="majorBidi" w:hAnsiTheme="majorBidi" w:cstheme="majorBidi"/>
          <w:b/>
          <w:bCs/>
          <w:lang w:val="en-US"/>
        </w:rPr>
        <w:t>Table 2</w:t>
      </w:r>
      <w:r w:rsidR="00084B00" w:rsidRPr="003314B7">
        <w:rPr>
          <w:rFonts w:asciiTheme="majorBidi" w:hAnsiTheme="majorBidi" w:cstheme="majorBidi"/>
          <w:lang w:val="en-US"/>
        </w:rPr>
        <w:t xml:space="preserve">: </w:t>
      </w:r>
      <w:r w:rsidR="004B3503" w:rsidRPr="003314B7">
        <w:rPr>
          <w:rFonts w:asciiTheme="majorBidi" w:hAnsiTheme="majorBidi" w:cstheme="majorBidi"/>
          <w:lang w:val="en-US"/>
        </w:rPr>
        <w:t>The chi-square and estimation of risk (OR)</w:t>
      </w:r>
      <w:r w:rsidR="008B1926" w:rsidRPr="003314B7">
        <w:rPr>
          <w:rFonts w:asciiTheme="majorBidi" w:hAnsiTheme="majorBidi" w:cstheme="majorBidi"/>
          <w:lang w:val="en-US"/>
        </w:rPr>
        <w:t>with a 95% Confidence Interval</w:t>
      </w:r>
    </w:p>
    <w:tbl>
      <w:tblPr>
        <w:tblW w:w="10660" w:type="dxa"/>
        <w:tblInd w:w="-825" w:type="dxa"/>
        <w:tblLook w:val="04A0" w:firstRow="1" w:lastRow="0" w:firstColumn="1" w:lastColumn="0" w:noHBand="0" w:noVBand="1"/>
      </w:tblPr>
      <w:tblGrid>
        <w:gridCol w:w="1040"/>
        <w:gridCol w:w="711"/>
        <w:gridCol w:w="711"/>
        <w:gridCol w:w="905"/>
        <w:gridCol w:w="834"/>
        <w:gridCol w:w="711"/>
        <w:gridCol w:w="711"/>
        <w:gridCol w:w="1013"/>
        <w:gridCol w:w="1074"/>
        <w:gridCol w:w="711"/>
        <w:gridCol w:w="711"/>
        <w:gridCol w:w="827"/>
        <w:gridCol w:w="950"/>
      </w:tblGrid>
      <w:tr w:rsidR="005B77A8" w:rsidRPr="005D7BDA" w14:paraId="275D0B21" w14:textId="77777777" w:rsidTr="003314B7">
        <w:trPr>
          <w:trHeight w:val="290"/>
        </w:trPr>
        <w:tc>
          <w:tcPr>
            <w:tcW w:w="1040" w:type="dxa"/>
            <w:vMerge w:val="restart"/>
            <w:tcBorders>
              <w:top w:val="single" w:sz="4" w:space="0" w:color="auto"/>
              <w:left w:val="single" w:sz="4" w:space="0" w:color="auto"/>
              <w:bottom w:val="single" w:sz="4" w:space="0" w:color="000000"/>
              <w:right w:val="single" w:sz="4" w:space="0" w:color="auto"/>
            </w:tcBorders>
            <w:noWrap/>
            <w:vAlign w:val="center"/>
            <w:hideMark/>
          </w:tcPr>
          <w:p w14:paraId="7E1BEB61" w14:textId="77777777" w:rsidR="005B77A8" w:rsidRPr="003314B7" w:rsidRDefault="005B77A8" w:rsidP="005D7BDA">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Group</w:t>
            </w:r>
          </w:p>
        </w:tc>
        <w:tc>
          <w:tcPr>
            <w:tcW w:w="3083" w:type="dxa"/>
            <w:gridSpan w:val="4"/>
            <w:tcBorders>
              <w:top w:val="single" w:sz="4" w:space="0" w:color="auto"/>
              <w:left w:val="nil"/>
              <w:bottom w:val="single" w:sz="4" w:space="0" w:color="auto"/>
              <w:right w:val="single" w:sz="4" w:space="0" w:color="auto"/>
            </w:tcBorders>
            <w:noWrap/>
            <w:vAlign w:val="bottom"/>
            <w:hideMark/>
          </w:tcPr>
          <w:p w14:paraId="1021E3CC" w14:textId="0D0B17C3"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Homozygotes II  </w:t>
            </w:r>
          </w:p>
        </w:tc>
        <w:tc>
          <w:tcPr>
            <w:tcW w:w="3431" w:type="dxa"/>
            <w:gridSpan w:val="4"/>
            <w:tcBorders>
              <w:top w:val="single" w:sz="4" w:space="0" w:color="auto"/>
              <w:left w:val="nil"/>
              <w:bottom w:val="single" w:sz="4" w:space="0" w:color="auto"/>
              <w:right w:val="single" w:sz="4" w:space="0" w:color="auto"/>
            </w:tcBorders>
            <w:noWrap/>
            <w:vAlign w:val="bottom"/>
            <w:hideMark/>
          </w:tcPr>
          <w:p w14:paraId="7F2CD0D0" w14:textId="7D9B497C"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Heterozygotes ID</w:t>
            </w:r>
          </w:p>
        </w:tc>
        <w:tc>
          <w:tcPr>
            <w:tcW w:w="3106" w:type="dxa"/>
            <w:gridSpan w:val="4"/>
            <w:tcBorders>
              <w:top w:val="single" w:sz="4" w:space="0" w:color="auto"/>
              <w:left w:val="nil"/>
              <w:bottom w:val="single" w:sz="4" w:space="0" w:color="auto"/>
              <w:right w:val="single" w:sz="4" w:space="0" w:color="auto"/>
            </w:tcBorders>
            <w:noWrap/>
            <w:vAlign w:val="bottom"/>
            <w:hideMark/>
          </w:tcPr>
          <w:p w14:paraId="7553B53E" w14:textId="495F1C59"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Homozygotes DD  </w:t>
            </w:r>
          </w:p>
        </w:tc>
      </w:tr>
      <w:tr w:rsidR="005B77A8" w:rsidRPr="005D7BDA" w14:paraId="1D4DBDFB" w14:textId="77777777" w:rsidTr="005B77A8">
        <w:trPr>
          <w:trHeight w:val="460"/>
        </w:trPr>
        <w:tc>
          <w:tcPr>
            <w:tcW w:w="1040" w:type="dxa"/>
            <w:vMerge/>
            <w:tcBorders>
              <w:top w:val="single" w:sz="4" w:space="0" w:color="auto"/>
              <w:left w:val="single" w:sz="4" w:space="0" w:color="auto"/>
              <w:bottom w:val="single" w:sz="4" w:space="0" w:color="000000"/>
              <w:right w:val="single" w:sz="4" w:space="0" w:color="auto"/>
            </w:tcBorders>
            <w:vAlign w:val="center"/>
            <w:hideMark/>
          </w:tcPr>
          <w:p w14:paraId="3780B15A" w14:textId="77777777" w:rsidR="005B77A8" w:rsidRPr="003314B7" w:rsidRDefault="005B77A8" w:rsidP="005B77A8">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672" w:type="dxa"/>
            <w:vMerge w:val="restart"/>
            <w:tcBorders>
              <w:top w:val="nil"/>
              <w:left w:val="single" w:sz="4" w:space="0" w:color="auto"/>
              <w:bottom w:val="single" w:sz="4" w:space="0" w:color="000000"/>
              <w:right w:val="single" w:sz="4" w:space="0" w:color="auto"/>
            </w:tcBorders>
            <w:noWrap/>
            <w:vAlign w:val="bottom"/>
            <w:hideMark/>
          </w:tcPr>
          <w:p w14:paraId="5F20A4A8" w14:textId="77777777" w:rsidR="005B77A8" w:rsidRPr="003314B7" w:rsidRDefault="005B77A8" w:rsidP="005B77A8">
            <w:pPr>
              <w:spacing w:after="0" w:line="240" w:lineRule="auto"/>
              <w:jc w:val="center"/>
              <w:rPr>
                <w:rFonts w:asciiTheme="majorBidi" w:eastAsia="Times New Roman" w:hAnsiTheme="majorBidi" w:cstheme="majorBidi"/>
                <w:b/>
                <w:bCs/>
                <w:i/>
                <w:iCs/>
                <w:color w:val="000000"/>
                <w:kern w:val="0"/>
                <w:sz w:val="22"/>
                <w:szCs w:val="22"/>
                <w:lang w:val="en-US" w:eastAsia="en-IN"/>
                <w14:ligatures w14:val="none"/>
              </w:rPr>
            </w:pPr>
            <w:r w:rsidRPr="003314B7">
              <w:rPr>
                <w:rFonts w:asciiTheme="majorBidi" w:eastAsia="Times New Roman" w:hAnsiTheme="majorBidi" w:cstheme="majorBidi"/>
                <w:b/>
                <w:bCs/>
                <w:i/>
                <w:iCs/>
                <w:color w:val="000000"/>
                <w:kern w:val="0"/>
                <w:sz w:val="22"/>
                <w:szCs w:val="22"/>
                <w:lang w:val="en-US" w:eastAsia="en-IN"/>
                <w14:ligatures w14:val="none"/>
              </w:rPr>
              <w:t xml:space="preserve">P </w:t>
            </w:r>
          </w:p>
        </w:tc>
        <w:tc>
          <w:tcPr>
            <w:tcW w:w="672" w:type="dxa"/>
            <w:vMerge w:val="restart"/>
            <w:tcBorders>
              <w:top w:val="nil"/>
              <w:left w:val="single" w:sz="4" w:space="0" w:color="auto"/>
              <w:bottom w:val="single" w:sz="4" w:space="0" w:color="000000"/>
              <w:right w:val="single" w:sz="4" w:space="0" w:color="auto"/>
            </w:tcBorders>
            <w:noWrap/>
            <w:vAlign w:val="bottom"/>
            <w:hideMark/>
          </w:tcPr>
          <w:p w14:paraId="0259AE81"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OR </w:t>
            </w:r>
          </w:p>
        </w:tc>
        <w:tc>
          <w:tcPr>
            <w:tcW w:w="1739" w:type="dxa"/>
            <w:gridSpan w:val="2"/>
            <w:tcBorders>
              <w:top w:val="single" w:sz="4" w:space="0" w:color="auto"/>
              <w:left w:val="nil"/>
              <w:bottom w:val="single" w:sz="4" w:space="0" w:color="auto"/>
              <w:right w:val="single" w:sz="4" w:space="0" w:color="auto"/>
            </w:tcBorders>
            <w:shd w:val="clear" w:color="000000" w:fill="FFFFFF"/>
            <w:vAlign w:val="center"/>
            <w:hideMark/>
          </w:tcPr>
          <w:p w14:paraId="45884CCD"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95% Confidence Interval</w:t>
            </w:r>
          </w:p>
        </w:tc>
        <w:tc>
          <w:tcPr>
            <w:tcW w:w="672" w:type="dxa"/>
            <w:vMerge w:val="restart"/>
            <w:tcBorders>
              <w:top w:val="nil"/>
              <w:left w:val="single" w:sz="4" w:space="0" w:color="auto"/>
              <w:bottom w:val="single" w:sz="4" w:space="0" w:color="000000"/>
              <w:right w:val="single" w:sz="4" w:space="0" w:color="auto"/>
            </w:tcBorders>
            <w:noWrap/>
            <w:vAlign w:val="bottom"/>
            <w:hideMark/>
          </w:tcPr>
          <w:p w14:paraId="18F72853" w14:textId="77777777" w:rsidR="005B77A8" w:rsidRPr="003314B7" w:rsidRDefault="005B77A8" w:rsidP="005B77A8">
            <w:pPr>
              <w:spacing w:after="0" w:line="240" w:lineRule="auto"/>
              <w:jc w:val="center"/>
              <w:rPr>
                <w:rFonts w:asciiTheme="majorBidi" w:eastAsia="Times New Roman" w:hAnsiTheme="majorBidi" w:cstheme="majorBidi"/>
                <w:b/>
                <w:bCs/>
                <w:i/>
                <w:iCs/>
                <w:color w:val="000000"/>
                <w:kern w:val="0"/>
                <w:sz w:val="22"/>
                <w:szCs w:val="22"/>
                <w:lang w:val="en-US" w:eastAsia="en-IN"/>
                <w14:ligatures w14:val="none"/>
              </w:rPr>
            </w:pPr>
            <w:r w:rsidRPr="003314B7">
              <w:rPr>
                <w:rFonts w:asciiTheme="majorBidi" w:eastAsia="Times New Roman" w:hAnsiTheme="majorBidi" w:cstheme="majorBidi"/>
                <w:b/>
                <w:bCs/>
                <w:i/>
                <w:iCs/>
                <w:color w:val="000000"/>
                <w:kern w:val="0"/>
                <w:sz w:val="22"/>
                <w:szCs w:val="22"/>
                <w:lang w:val="en-US" w:eastAsia="en-IN"/>
                <w14:ligatures w14:val="none"/>
              </w:rPr>
              <w:t xml:space="preserve">P </w:t>
            </w:r>
          </w:p>
        </w:tc>
        <w:tc>
          <w:tcPr>
            <w:tcW w:w="672" w:type="dxa"/>
            <w:vMerge w:val="restart"/>
            <w:tcBorders>
              <w:top w:val="nil"/>
              <w:left w:val="single" w:sz="4" w:space="0" w:color="auto"/>
              <w:bottom w:val="single" w:sz="4" w:space="0" w:color="000000"/>
              <w:right w:val="single" w:sz="4" w:space="0" w:color="auto"/>
            </w:tcBorders>
            <w:noWrap/>
            <w:vAlign w:val="bottom"/>
            <w:hideMark/>
          </w:tcPr>
          <w:p w14:paraId="5CD2A615"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OR </w:t>
            </w:r>
          </w:p>
        </w:tc>
        <w:tc>
          <w:tcPr>
            <w:tcW w:w="2087" w:type="dxa"/>
            <w:gridSpan w:val="2"/>
            <w:tcBorders>
              <w:top w:val="single" w:sz="4" w:space="0" w:color="auto"/>
              <w:left w:val="nil"/>
              <w:bottom w:val="single" w:sz="4" w:space="0" w:color="auto"/>
              <w:right w:val="single" w:sz="4" w:space="0" w:color="auto"/>
            </w:tcBorders>
            <w:shd w:val="clear" w:color="000000" w:fill="FFFFFF"/>
            <w:vAlign w:val="center"/>
            <w:hideMark/>
          </w:tcPr>
          <w:p w14:paraId="183A5ABC"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95% Confidence Interval</w:t>
            </w:r>
          </w:p>
        </w:tc>
        <w:tc>
          <w:tcPr>
            <w:tcW w:w="672" w:type="dxa"/>
            <w:vMerge w:val="restart"/>
            <w:tcBorders>
              <w:top w:val="nil"/>
              <w:left w:val="single" w:sz="4" w:space="0" w:color="auto"/>
              <w:bottom w:val="single" w:sz="4" w:space="0" w:color="000000"/>
              <w:right w:val="single" w:sz="4" w:space="0" w:color="auto"/>
            </w:tcBorders>
            <w:noWrap/>
            <w:vAlign w:val="bottom"/>
            <w:hideMark/>
          </w:tcPr>
          <w:p w14:paraId="11B78F61" w14:textId="77777777" w:rsidR="005B77A8" w:rsidRPr="003314B7" w:rsidRDefault="005B77A8" w:rsidP="005B77A8">
            <w:pPr>
              <w:spacing w:after="0" w:line="240" w:lineRule="auto"/>
              <w:jc w:val="center"/>
              <w:rPr>
                <w:rFonts w:asciiTheme="majorBidi" w:eastAsia="Times New Roman" w:hAnsiTheme="majorBidi" w:cstheme="majorBidi"/>
                <w:b/>
                <w:bCs/>
                <w:i/>
                <w:iCs/>
                <w:color w:val="000000"/>
                <w:kern w:val="0"/>
                <w:sz w:val="22"/>
                <w:szCs w:val="22"/>
                <w:lang w:val="en-US" w:eastAsia="en-IN"/>
                <w14:ligatures w14:val="none"/>
              </w:rPr>
            </w:pPr>
            <w:r w:rsidRPr="003314B7">
              <w:rPr>
                <w:rFonts w:asciiTheme="majorBidi" w:eastAsia="Times New Roman" w:hAnsiTheme="majorBidi" w:cstheme="majorBidi"/>
                <w:b/>
                <w:bCs/>
                <w:i/>
                <w:iCs/>
                <w:color w:val="000000"/>
                <w:kern w:val="0"/>
                <w:sz w:val="22"/>
                <w:szCs w:val="22"/>
                <w:lang w:val="en-US" w:eastAsia="en-IN"/>
                <w14:ligatures w14:val="none"/>
              </w:rPr>
              <w:t xml:space="preserve">P </w:t>
            </w:r>
          </w:p>
        </w:tc>
        <w:tc>
          <w:tcPr>
            <w:tcW w:w="672" w:type="dxa"/>
            <w:vMerge w:val="restart"/>
            <w:tcBorders>
              <w:top w:val="nil"/>
              <w:left w:val="single" w:sz="4" w:space="0" w:color="auto"/>
              <w:bottom w:val="single" w:sz="4" w:space="0" w:color="000000"/>
              <w:right w:val="single" w:sz="4" w:space="0" w:color="auto"/>
            </w:tcBorders>
            <w:noWrap/>
            <w:vAlign w:val="bottom"/>
            <w:hideMark/>
          </w:tcPr>
          <w:p w14:paraId="4A042EBD"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OR </w:t>
            </w:r>
          </w:p>
        </w:tc>
        <w:tc>
          <w:tcPr>
            <w:tcW w:w="1762" w:type="dxa"/>
            <w:gridSpan w:val="2"/>
            <w:tcBorders>
              <w:top w:val="single" w:sz="4" w:space="0" w:color="auto"/>
              <w:left w:val="nil"/>
              <w:bottom w:val="single" w:sz="4" w:space="0" w:color="auto"/>
              <w:right w:val="single" w:sz="4" w:space="0" w:color="auto"/>
            </w:tcBorders>
            <w:shd w:val="clear" w:color="000000" w:fill="FFFFFF"/>
            <w:vAlign w:val="center"/>
            <w:hideMark/>
          </w:tcPr>
          <w:p w14:paraId="1D81F2D6"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95% Confidence Interval</w:t>
            </w:r>
          </w:p>
        </w:tc>
      </w:tr>
      <w:tr w:rsidR="005B77A8" w:rsidRPr="005D7BDA" w14:paraId="45A0E74E" w14:textId="77777777" w:rsidTr="005B77A8">
        <w:trPr>
          <w:trHeight w:val="290"/>
        </w:trPr>
        <w:tc>
          <w:tcPr>
            <w:tcW w:w="1040" w:type="dxa"/>
            <w:vMerge/>
            <w:tcBorders>
              <w:top w:val="single" w:sz="4" w:space="0" w:color="auto"/>
              <w:left w:val="single" w:sz="4" w:space="0" w:color="auto"/>
              <w:bottom w:val="single" w:sz="4" w:space="0" w:color="000000"/>
              <w:right w:val="single" w:sz="4" w:space="0" w:color="auto"/>
            </w:tcBorders>
            <w:vAlign w:val="center"/>
            <w:hideMark/>
          </w:tcPr>
          <w:p w14:paraId="4A7E0F8A" w14:textId="77777777" w:rsidR="005B77A8" w:rsidRPr="003314B7" w:rsidRDefault="005B77A8" w:rsidP="005B77A8">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672" w:type="dxa"/>
            <w:vMerge/>
            <w:tcBorders>
              <w:top w:val="nil"/>
              <w:left w:val="single" w:sz="4" w:space="0" w:color="auto"/>
              <w:bottom w:val="single" w:sz="4" w:space="0" w:color="000000"/>
              <w:right w:val="single" w:sz="4" w:space="0" w:color="auto"/>
            </w:tcBorders>
            <w:vAlign w:val="center"/>
            <w:hideMark/>
          </w:tcPr>
          <w:p w14:paraId="6126F44D" w14:textId="77777777" w:rsidR="005B77A8" w:rsidRPr="003314B7" w:rsidRDefault="005B77A8" w:rsidP="005B77A8">
            <w:pPr>
              <w:spacing w:after="0" w:line="240" w:lineRule="auto"/>
              <w:rPr>
                <w:rFonts w:asciiTheme="majorBidi" w:eastAsia="Times New Roman" w:hAnsiTheme="majorBidi" w:cstheme="majorBidi"/>
                <w:b/>
                <w:bCs/>
                <w:i/>
                <w:iCs/>
                <w:color w:val="000000"/>
                <w:kern w:val="0"/>
                <w:sz w:val="22"/>
                <w:szCs w:val="22"/>
                <w:lang w:val="en-US" w:eastAsia="en-IN"/>
                <w14:ligatures w14:val="none"/>
              </w:rPr>
            </w:pPr>
          </w:p>
        </w:tc>
        <w:tc>
          <w:tcPr>
            <w:tcW w:w="672" w:type="dxa"/>
            <w:vMerge/>
            <w:tcBorders>
              <w:top w:val="nil"/>
              <w:left w:val="single" w:sz="4" w:space="0" w:color="auto"/>
              <w:bottom w:val="single" w:sz="4" w:space="0" w:color="000000"/>
              <w:right w:val="single" w:sz="4" w:space="0" w:color="auto"/>
            </w:tcBorders>
            <w:vAlign w:val="center"/>
            <w:hideMark/>
          </w:tcPr>
          <w:p w14:paraId="2E771FA4" w14:textId="77777777" w:rsidR="005B77A8" w:rsidRPr="003314B7" w:rsidRDefault="005B77A8" w:rsidP="005B77A8">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905" w:type="dxa"/>
            <w:tcBorders>
              <w:top w:val="nil"/>
              <w:left w:val="nil"/>
              <w:bottom w:val="single" w:sz="4" w:space="0" w:color="auto"/>
              <w:right w:val="single" w:sz="4" w:space="0" w:color="auto"/>
            </w:tcBorders>
            <w:shd w:val="clear" w:color="000000" w:fill="FFFFFF"/>
            <w:vAlign w:val="center"/>
            <w:hideMark/>
          </w:tcPr>
          <w:p w14:paraId="2B059F1C"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Lower</w:t>
            </w:r>
          </w:p>
        </w:tc>
        <w:tc>
          <w:tcPr>
            <w:tcW w:w="834" w:type="dxa"/>
            <w:tcBorders>
              <w:top w:val="nil"/>
              <w:left w:val="nil"/>
              <w:bottom w:val="single" w:sz="4" w:space="0" w:color="auto"/>
              <w:right w:val="single" w:sz="4" w:space="0" w:color="auto"/>
            </w:tcBorders>
            <w:shd w:val="clear" w:color="000000" w:fill="FFFFFF"/>
            <w:vAlign w:val="center"/>
            <w:hideMark/>
          </w:tcPr>
          <w:p w14:paraId="11B5C86C"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Upper</w:t>
            </w:r>
          </w:p>
        </w:tc>
        <w:tc>
          <w:tcPr>
            <w:tcW w:w="672" w:type="dxa"/>
            <w:vMerge/>
            <w:tcBorders>
              <w:top w:val="nil"/>
              <w:left w:val="single" w:sz="4" w:space="0" w:color="auto"/>
              <w:bottom w:val="single" w:sz="4" w:space="0" w:color="000000"/>
              <w:right w:val="single" w:sz="4" w:space="0" w:color="auto"/>
            </w:tcBorders>
            <w:vAlign w:val="center"/>
            <w:hideMark/>
          </w:tcPr>
          <w:p w14:paraId="05D68325" w14:textId="77777777" w:rsidR="005B77A8" w:rsidRPr="003314B7" w:rsidRDefault="005B77A8" w:rsidP="005B77A8">
            <w:pPr>
              <w:spacing w:after="0" w:line="240" w:lineRule="auto"/>
              <w:rPr>
                <w:rFonts w:asciiTheme="majorBidi" w:eastAsia="Times New Roman" w:hAnsiTheme="majorBidi" w:cstheme="majorBidi"/>
                <w:b/>
                <w:bCs/>
                <w:i/>
                <w:iCs/>
                <w:color w:val="000000"/>
                <w:kern w:val="0"/>
                <w:sz w:val="22"/>
                <w:szCs w:val="22"/>
                <w:lang w:val="en-US" w:eastAsia="en-IN"/>
                <w14:ligatures w14:val="none"/>
              </w:rPr>
            </w:pPr>
          </w:p>
        </w:tc>
        <w:tc>
          <w:tcPr>
            <w:tcW w:w="672" w:type="dxa"/>
            <w:vMerge/>
            <w:tcBorders>
              <w:top w:val="nil"/>
              <w:left w:val="single" w:sz="4" w:space="0" w:color="auto"/>
              <w:bottom w:val="single" w:sz="4" w:space="0" w:color="000000"/>
              <w:right w:val="single" w:sz="4" w:space="0" w:color="auto"/>
            </w:tcBorders>
            <w:vAlign w:val="center"/>
            <w:hideMark/>
          </w:tcPr>
          <w:p w14:paraId="1171E6DB" w14:textId="77777777" w:rsidR="005B77A8" w:rsidRPr="003314B7" w:rsidRDefault="005B77A8" w:rsidP="005B77A8">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1013" w:type="dxa"/>
            <w:tcBorders>
              <w:top w:val="nil"/>
              <w:left w:val="nil"/>
              <w:bottom w:val="single" w:sz="4" w:space="0" w:color="auto"/>
              <w:right w:val="single" w:sz="4" w:space="0" w:color="auto"/>
            </w:tcBorders>
            <w:shd w:val="clear" w:color="000000" w:fill="FFFFFF"/>
            <w:vAlign w:val="center"/>
            <w:hideMark/>
          </w:tcPr>
          <w:p w14:paraId="59B20CD0"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Lower</w:t>
            </w:r>
          </w:p>
        </w:tc>
        <w:tc>
          <w:tcPr>
            <w:tcW w:w="1074" w:type="dxa"/>
            <w:tcBorders>
              <w:top w:val="nil"/>
              <w:left w:val="nil"/>
              <w:bottom w:val="single" w:sz="4" w:space="0" w:color="auto"/>
              <w:right w:val="single" w:sz="4" w:space="0" w:color="auto"/>
            </w:tcBorders>
            <w:shd w:val="clear" w:color="000000" w:fill="FFFFFF"/>
            <w:vAlign w:val="center"/>
            <w:hideMark/>
          </w:tcPr>
          <w:p w14:paraId="1EA27CAE"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Upper</w:t>
            </w:r>
          </w:p>
        </w:tc>
        <w:tc>
          <w:tcPr>
            <w:tcW w:w="672" w:type="dxa"/>
            <w:vMerge/>
            <w:tcBorders>
              <w:top w:val="nil"/>
              <w:left w:val="single" w:sz="4" w:space="0" w:color="auto"/>
              <w:bottom w:val="single" w:sz="4" w:space="0" w:color="000000"/>
              <w:right w:val="single" w:sz="4" w:space="0" w:color="auto"/>
            </w:tcBorders>
            <w:vAlign w:val="center"/>
            <w:hideMark/>
          </w:tcPr>
          <w:p w14:paraId="5A95CF04" w14:textId="77777777" w:rsidR="005B77A8" w:rsidRPr="003314B7" w:rsidRDefault="005B77A8" w:rsidP="005B77A8">
            <w:pPr>
              <w:spacing w:after="0" w:line="240" w:lineRule="auto"/>
              <w:rPr>
                <w:rFonts w:asciiTheme="majorBidi" w:eastAsia="Times New Roman" w:hAnsiTheme="majorBidi" w:cstheme="majorBidi"/>
                <w:b/>
                <w:bCs/>
                <w:i/>
                <w:iCs/>
                <w:color w:val="000000"/>
                <w:kern w:val="0"/>
                <w:sz w:val="22"/>
                <w:szCs w:val="22"/>
                <w:lang w:val="en-US" w:eastAsia="en-IN"/>
                <w14:ligatures w14:val="none"/>
              </w:rPr>
            </w:pPr>
          </w:p>
        </w:tc>
        <w:tc>
          <w:tcPr>
            <w:tcW w:w="672" w:type="dxa"/>
            <w:vMerge/>
            <w:tcBorders>
              <w:top w:val="nil"/>
              <w:left w:val="single" w:sz="4" w:space="0" w:color="auto"/>
              <w:bottom w:val="single" w:sz="4" w:space="0" w:color="000000"/>
              <w:right w:val="single" w:sz="4" w:space="0" w:color="auto"/>
            </w:tcBorders>
            <w:vAlign w:val="center"/>
            <w:hideMark/>
          </w:tcPr>
          <w:p w14:paraId="4033A1F2" w14:textId="77777777" w:rsidR="005B77A8" w:rsidRPr="003314B7" w:rsidRDefault="005B77A8" w:rsidP="005B77A8">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812" w:type="dxa"/>
            <w:tcBorders>
              <w:top w:val="nil"/>
              <w:left w:val="nil"/>
              <w:bottom w:val="single" w:sz="4" w:space="0" w:color="auto"/>
              <w:right w:val="single" w:sz="4" w:space="0" w:color="auto"/>
            </w:tcBorders>
            <w:shd w:val="clear" w:color="000000" w:fill="FFFFFF"/>
            <w:vAlign w:val="center"/>
            <w:hideMark/>
          </w:tcPr>
          <w:p w14:paraId="17D8A46C"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Lower</w:t>
            </w:r>
          </w:p>
        </w:tc>
        <w:tc>
          <w:tcPr>
            <w:tcW w:w="950" w:type="dxa"/>
            <w:tcBorders>
              <w:top w:val="nil"/>
              <w:left w:val="nil"/>
              <w:bottom w:val="single" w:sz="4" w:space="0" w:color="auto"/>
              <w:right w:val="single" w:sz="4" w:space="0" w:color="auto"/>
            </w:tcBorders>
            <w:shd w:val="clear" w:color="000000" w:fill="FFFFFF"/>
            <w:vAlign w:val="center"/>
            <w:hideMark/>
          </w:tcPr>
          <w:p w14:paraId="6D287F1A" w14:textId="77777777" w:rsidR="005B77A8" w:rsidRPr="003314B7" w:rsidRDefault="005B77A8" w:rsidP="005B77A8">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Upper</w:t>
            </w:r>
          </w:p>
        </w:tc>
      </w:tr>
      <w:tr w:rsidR="005B77A8" w:rsidRPr="005D7BDA" w14:paraId="2449B55E" w14:textId="77777777" w:rsidTr="005B77A8">
        <w:trPr>
          <w:trHeight w:val="290"/>
        </w:trPr>
        <w:tc>
          <w:tcPr>
            <w:tcW w:w="1040" w:type="dxa"/>
            <w:tcBorders>
              <w:top w:val="nil"/>
              <w:left w:val="single" w:sz="4" w:space="0" w:color="auto"/>
              <w:bottom w:val="single" w:sz="4" w:space="0" w:color="auto"/>
              <w:right w:val="single" w:sz="4" w:space="0" w:color="auto"/>
            </w:tcBorders>
            <w:noWrap/>
            <w:vAlign w:val="bottom"/>
            <w:hideMark/>
          </w:tcPr>
          <w:p w14:paraId="48D673AD"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COPD </w:t>
            </w:r>
          </w:p>
        </w:tc>
        <w:tc>
          <w:tcPr>
            <w:tcW w:w="672" w:type="dxa"/>
            <w:tcBorders>
              <w:top w:val="nil"/>
              <w:left w:val="nil"/>
              <w:bottom w:val="single" w:sz="4" w:space="0" w:color="auto"/>
              <w:right w:val="single" w:sz="4" w:space="0" w:color="auto"/>
            </w:tcBorders>
            <w:noWrap/>
            <w:vAlign w:val="bottom"/>
            <w:hideMark/>
          </w:tcPr>
          <w:p w14:paraId="6620939B"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0.146</w:t>
            </w:r>
          </w:p>
        </w:tc>
        <w:tc>
          <w:tcPr>
            <w:tcW w:w="672" w:type="dxa"/>
            <w:tcBorders>
              <w:top w:val="nil"/>
              <w:left w:val="nil"/>
              <w:bottom w:val="single" w:sz="4" w:space="0" w:color="auto"/>
              <w:right w:val="single" w:sz="4" w:space="0" w:color="auto"/>
            </w:tcBorders>
            <w:noWrap/>
            <w:vAlign w:val="bottom"/>
            <w:hideMark/>
          </w:tcPr>
          <w:p w14:paraId="0ACB8065"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0.592</w:t>
            </w:r>
          </w:p>
        </w:tc>
        <w:tc>
          <w:tcPr>
            <w:tcW w:w="905" w:type="dxa"/>
            <w:tcBorders>
              <w:top w:val="nil"/>
              <w:left w:val="nil"/>
              <w:bottom w:val="single" w:sz="4" w:space="0" w:color="auto"/>
              <w:right w:val="single" w:sz="4" w:space="0" w:color="auto"/>
            </w:tcBorders>
            <w:noWrap/>
            <w:vAlign w:val="bottom"/>
            <w:hideMark/>
          </w:tcPr>
          <w:p w14:paraId="3C09696D"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0.312</w:t>
            </w:r>
          </w:p>
        </w:tc>
        <w:tc>
          <w:tcPr>
            <w:tcW w:w="834" w:type="dxa"/>
            <w:tcBorders>
              <w:top w:val="nil"/>
              <w:left w:val="nil"/>
              <w:bottom w:val="single" w:sz="4" w:space="0" w:color="auto"/>
              <w:right w:val="single" w:sz="4" w:space="0" w:color="auto"/>
            </w:tcBorders>
            <w:noWrap/>
            <w:vAlign w:val="bottom"/>
            <w:hideMark/>
          </w:tcPr>
          <w:p w14:paraId="501E400E"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1.123</w:t>
            </w:r>
          </w:p>
        </w:tc>
        <w:tc>
          <w:tcPr>
            <w:tcW w:w="672" w:type="dxa"/>
            <w:tcBorders>
              <w:top w:val="nil"/>
              <w:left w:val="nil"/>
              <w:bottom w:val="single" w:sz="4" w:space="0" w:color="auto"/>
              <w:right w:val="single" w:sz="4" w:space="0" w:color="auto"/>
            </w:tcBorders>
            <w:noWrap/>
            <w:vAlign w:val="bottom"/>
            <w:hideMark/>
          </w:tcPr>
          <w:p w14:paraId="338C4189"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0.774</w:t>
            </w:r>
          </w:p>
        </w:tc>
        <w:tc>
          <w:tcPr>
            <w:tcW w:w="672" w:type="dxa"/>
            <w:tcBorders>
              <w:top w:val="nil"/>
              <w:left w:val="nil"/>
              <w:bottom w:val="single" w:sz="4" w:space="0" w:color="auto"/>
              <w:right w:val="single" w:sz="4" w:space="0" w:color="auto"/>
            </w:tcBorders>
            <w:noWrap/>
            <w:vAlign w:val="bottom"/>
            <w:hideMark/>
          </w:tcPr>
          <w:p w14:paraId="26BB068E"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0.884</w:t>
            </w:r>
          </w:p>
        </w:tc>
        <w:tc>
          <w:tcPr>
            <w:tcW w:w="1013" w:type="dxa"/>
            <w:tcBorders>
              <w:top w:val="nil"/>
              <w:left w:val="nil"/>
              <w:bottom w:val="single" w:sz="4" w:space="0" w:color="auto"/>
              <w:right w:val="single" w:sz="4" w:space="0" w:color="auto"/>
            </w:tcBorders>
            <w:noWrap/>
            <w:vAlign w:val="bottom"/>
            <w:hideMark/>
          </w:tcPr>
          <w:p w14:paraId="6FF72AA2"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0.503</w:t>
            </w:r>
          </w:p>
        </w:tc>
        <w:tc>
          <w:tcPr>
            <w:tcW w:w="1074" w:type="dxa"/>
            <w:tcBorders>
              <w:top w:val="nil"/>
              <w:left w:val="nil"/>
              <w:bottom w:val="single" w:sz="4" w:space="0" w:color="auto"/>
              <w:right w:val="single" w:sz="4" w:space="0" w:color="auto"/>
            </w:tcBorders>
            <w:noWrap/>
            <w:vAlign w:val="bottom"/>
            <w:hideMark/>
          </w:tcPr>
          <w:p w14:paraId="782B79C4"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1.552</w:t>
            </w:r>
          </w:p>
        </w:tc>
        <w:tc>
          <w:tcPr>
            <w:tcW w:w="672" w:type="dxa"/>
            <w:tcBorders>
              <w:top w:val="nil"/>
              <w:left w:val="nil"/>
              <w:bottom w:val="single" w:sz="4" w:space="0" w:color="auto"/>
              <w:right w:val="single" w:sz="4" w:space="0" w:color="auto"/>
            </w:tcBorders>
            <w:noWrap/>
            <w:vAlign w:val="bottom"/>
            <w:hideMark/>
          </w:tcPr>
          <w:p w14:paraId="36EB4A37" w14:textId="1347F9B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0.07</w:t>
            </w:r>
            <w:r w:rsidR="006F177D">
              <w:rPr>
                <w:rFonts w:asciiTheme="majorBidi" w:eastAsia="Times New Roman" w:hAnsiTheme="majorBidi" w:cstheme="majorBidi"/>
                <w:color w:val="000000"/>
                <w:kern w:val="0"/>
                <w:sz w:val="22"/>
                <w:szCs w:val="22"/>
                <w:lang w:val="en-US" w:eastAsia="en-IN"/>
                <w14:ligatures w14:val="none"/>
              </w:rPr>
              <w:t>0</w:t>
            </w:r>
          </w:p>
        </w:tc>
        <w:tc>
          <w:tcPr>
            <w:tcW w:w="672" w:type="dxa"/>
            <w:tcBorders>
              <w:top w:val="nil"/>
              <w:left w:val="nil"/>
              <w:bottom w:val="single" w:sz="4" w:space="0" w:color="auto"/>
              <w:right w:val="single" w:sz="4" w:space="0" w:color="auto"/>
            </w:tcBorders>
            <w:noWrap/>
            <w:vAlign w:val="bottom"/>
            <w:hideMark/>
          </w:tcPr>
          <w:p w14:paraId="7B8AFD1D"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1.82</w:t>
            </w:r>
          </w:p>
        </w:tc>
        <w:tc>
          <w:tcPr>
            <w:tcW w:w="812" w:type="dxa"/>
            <w:tcBorders>
              <w:top w:val="nil"/>
              <w:left w:val="nil"/>
              <w:bottom w:val="single" w:sz="4" w:space="0" w:color="auto"/>
              <w:right w:val="single" w:sz="4" w:space="0" w:color="auto"/>
            </w:tcBorders>
            <w:noWrap/>
            <w:vAlign w:val="bottom"/>
            <w:hideMark/>
          </w:tcPr>
          <w:p w14:paraId="1E1D3946"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0.998</w:t>
            </w:r>
          </w:p>
        </w:tc>
        <w:tc>
          <w:tcPr>
            <w:tcW w:w="950" w:type="dxa"/>
            <w:tcBorders>
              <w:top w:val="nil"/>
              <w:left w:val="nil"/>
              <w:bottom w:val="single" w:sz="4" w:space="0" w:color="auto"/>
              <w:right w:val="single" w:sz="4" w:space="0" w:color="auto"/>
            </w:tcBorders>
            <w:noWrap/>
            <w:vAlign w:val="bottom"/>
            <w:hideMark/>
          </w:tcPr>
          <w:p w14:paraId="622AF018"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3.319</w:t>
            </w:r>
          </w:p>
        </w:tc>
      </w:tr>
      <w:tr w:rsidR="005B77A8" w:rsidRPr="005D7BDA" w14:paraId="63F9BF61" w14:textId="77777777" w:rsidTr="003314B7">
        <w:trPr>
          <w:trHeight w:val="290"/>
        </w:trPr>
        <w:tc>
          <w:tcPr>
            <w:tcW w:w="1040" w:type="dxa"/>
            <w:tcBorders>
              <w:top w:val="nil"/>
              <w:left w:val="single" w:sz="4" w:space="0" w:color="auto"/>
              <w:bottom w:val="single" w:sz="4" w:space="0" w:color="auto"/>
              <w:right w:val="single" w:sz="4" w:space="0" w:color="auto"/>
            </w:tcBorders>
            <w:noWrap/>
            <w:vAlign w:val="bottom"/>
            <w:hideMark/>
          </w:tcPr>
          <w:p w14:paraId="3ABF9929" w14:textId="40859499"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COPD</w:t>
            </w:r>
            <w:r w:rsidR="005733A8">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 xml:space="preserve"> HTN</w:t>
            </w:r>
          </w:p>
        </w:tc>
        <w:tc>
          <w:tcPr>
            <w:tcW w:w="672" w:type="dxa"/>
            <w:tcBorders>
              <w:top w:val="nil"/>
              <w:left w:val="nil"/>
              <w:bottom w:val="single" w:sz="4" w:space="0" w:color="auto"/>
              <w:right w:val="single" w:sz="4" w:space="0" w:color="auto"/>
            </w:tcBorders>
            <w:noWrap/>
            <w:vAlign w:val="center"/>
            <w:hideMark/>
          </w:tcPr>
          <w:p w14:paraId="636394B5"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1.000</w:t>
            </w:r>
          </w:p>
        </w:tc>
        <w:tc>
          <w:tcPr>
            <w:tcW w:w="672" w:type="dxa"/>
            <w:tcBorders>
              <w:top w:val="nil"/>
              <w:left w:val="nil"/>
              <w:bottom w:val="single" w:sz="4" w:space="0" w:color="auto"/>
              <w:right w:val="single" w:sz="4" w:space="0" w:color="auto"/>
            </w:tcBorders>
            <w:noWrap/>
            <w:vAlign w:val="center"/>
            <w:hideMark/>
          </w:tcPr>
          <w:p w14:paraId="7E4CC349"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0.954</w:t>
            </w:r>
          </w:p>
        </w:tc>
        <w:tc>
          <w:tcPr>
            <w:tcW w:w="905" w:type="dxa"/>
            <w:tcBorders>
              <w:top w:val="nil"/>
              <w:left w:val="nil"/>
              <w:bottom w:val="single" w:sz="4" w:space="0" w:color="auto"/>
              <w:right w:val="single" w:sz="4" w:space="0" w:color="auto"/>
            </w:tcBorders>
            <w:noWrap/>
            <w:vAlign w:val="center"/>
            <w:hideMark/>
          </w:tcPr>
          <w:p w14:paraId="61ECB80F"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0.522</w:t>
            </w:r>
          </w:p>
        </w:tc>
        <w:tc>
          <w:tcPr>
            <w:tcW w:w="834" w:type="dxa"/>
            <w:tcBorders>
              <w:top w:val="nil"/>
              <w:left w:val="nil"/>
              <w:bottom w:val="single" w:sz="4" w:space="0" w:color="auto"/>
              <w:right w:val="single" w:sz="4" w:space="0" w:color="auto"/>
            </w:tcBorders>
            <w:noWrap/>
            <w:vAlign w:val="center"/>
            <w:hideMark/>
          </w:tcPr>
          <w:p w14:paraId="515E110F"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1.742</w:t>
            </w:r>
          </w:p>
        </w:tc>
        <w:tc>
          <w:tcPr>
            <w:tcW w:w="672" w:type="dxa"/>
            <w:tcBorders>
              <w:top w:val="nil"/>
              <w:left w:val="nil"/>
              <w:bottom w:val="single" w:sz="4" w:space="0" w:color="auto"/>
              <w:right w:val="single" w:sz="4" w:space="0" w:color="auto"/>
            </w:tcBorders>
            <w:noWrap/>
            <w:vAlign w:val="center"/>
            <w:hideMark/>
          </w:tcPr>
          <w:p w14:paraId="20C13EB9"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0.243</w:t>
            </w:r>
          </w:p>
        </w:tc>
        <w:tc>
          <w:tcPr>
            <w:tcW w:w="672" w:type="dxa"/>
            <w:tcBorders>
              <w:top w:val="nil"/>
              <w:left w:val="nil"/>
              <w:bottom w:val="single" w:sz="4" w:space="0" w:color="auto"/>
              <w:right w:val="single" w:sz="4" w:space="0" w:color="auto"/>
            </w:tcBorders>
            <w:noWrap/>
            <w:vAlign w:val="center"/>
            <w:hideMark/>
          </w:tcPr>
          <w:p w14:paraId="3090039E"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0.683</w:t>
            </w:r>
          </w:p>
        </w:tc>
        <w:tc>
          <w:tcPr>
            <w:tcW w:w="1013" w:type="dxa"/>
            <w:tcBorders>
              <w:top w:val="nil"/>
              <w:left w:val="nil"/>
              <w:bottom w:val="single" w:sz="4" w:space="0" w:color="auto"/>
              <w:right w:val="single" w:sz="4" w:space="0" w:color="auto"/>
            </w:tcBorders>
            <w:noWrap/>
            <w:vAlign w:val="center"/>
            <w:hideMark/>
          </w:tcPr>
          <w:p w14:paraId="1FE79805"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0.385</w:t>
            </w:r>
          </w:p>
        </w:tc>
        <w:tc>
          <w:tcPr>
            <w:tcW w:w="1074" w:type="dxa"/>
            <w:tcBorders>
              <w:top w:val="nil"/>
              <w:left w:val="nil"/>
              <w:bottom w:val="single" w:sz="4" w:space="0" w:color="auto"/>
              <w:right w:val="single" w:sz="4" w:space="0" w:color="auto"/>
            </w:tcBorders>
            <w:noWrap/>
            <w:vAlign w:val="center"/>
            <w:hideMark/>
          </w:tcPr>
          <w:p w14:paraId="12BFC692"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1.211</w:t>
            </w:r>
          </w:p>
        </w:tc>
        <w:tc>
          <w:tcPr>
            <w:tcW w:w="672" w:type="dxa"/>
            <w:tcBorders>
              <w:top w:val="nil"/>
              <w:left w:val="nil"/>
              <w:bottom w:val="single" w:sz="4" w:space="0" w:color="auto"/>
              <w:right w:val="single" w:sz="4" w:space="0" w:color="auto"/>
            </w:tcBorders>
            <w:noWrap/>
            <w:vAlign w:val="center"/>
            <w:hideMark/>
          </w:tcPr>
          <w:p w14:paraId="62317ED7"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0.169</w:t>
            </w:r>
          </w:p>
        </w:tc>
        <w:tc>
          <w:tcPr>
            <w:tcW w:w="672" w:type="dxa"/>
            <w:tcBorders>
              <w:top w:val="nil"/>
              <w:left w:val="nil"/>
              <w:bottom w:val="single" w:sz="4" w:space="0" w:color="auto"/>
              <w:right w:val="single" w:sz="4" w:space="0" w:color="auto"/>
            </w:tcBorders>
            <w:noWrap/>
            <w:vAlign w:val="center"/>
            <w:hideMark/>
          </w:tcPr>
          <w:p w14:paraId="1FDBF9F7"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1.601</w:t>
            </w:r>
          </w:p>
        </w:tc>
        <w:tc>
          <w:tcPr>
            <w:tcW w:w="812" w:type="dxa"/>
            <w:tcBorders>
              <w:top w:val="nil"/>
              <w:left w:val="nil"/>
              <w:bottom w:val="single" w:sz="4" w:space="0" w:color="auto"/>
              <w:right w:val="single" w:sz="4" w:space="0" w:color="auto"/>
            </w:tcBorders>
            <w:noWrap/>
            <w:vAlign w:val="center"/>
            <w:hideMark/>
          </w:tcPr>
          <w:p w14:paraId="551135DF"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0.874</w:t>
            </w:r>
          </w:p>
        </w:tc>
        <w:tc>
          <w:tcPr>
            <w:tcW w:w="950" w:type="dxa"/>
            <w:tcBorders>
              <w:top w:val="nil"/>
              <w:left w:val="nil"/>
              <w:bottom w:val="single" w:sz="4" w:space="0" w:color="auto"/>
              <w:right w:val="single" w:sz="4" w:space="0" w:color="auto"/>
            </w:tcBorders>
            <w:noWrap/>
            <w:vAlign w:val="center"/>
            <w:hideMark/>
          </w:tcPr>
          <w:p w14:paraId="104C8E3F" w14:textId="77777777" w:rsidR="005B77A8" w:rsidRPr="003314B7" w:rsidRDefault="005B77A8" w:rsidP="005D7BDA">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2.933</w:t>
            </w:r>
          </w:p>
        </w:tc>
      </w:tr>
      <w:tr w:rsidR="005B77A8" w:rsidRPr="005D7BDA" w14:paraId="05642A7D" w14:textId="77777777" w:rsidTr="005B77A8">
        <w:trPr>
          <w:trHeight w:val="290"/>
        </w:trPr>
        <w:tc>
          <w:tcPr>
            <w:tcW w:w="1040" w:type="dxa"/>
            <w:tcBorders>
              <w:top w:val="nil"/>
              <w:left w:val="single" w:sz="4" w:space="0" w:color="auto"/>
              <w:bottom w:val="single" w:sz="4" w:space="0" w:color="auto"/>
              <w:right w:val="single" w:sz="4" w:space="0" w:color="auto"/>
            </w:tcBorders>
            <w:noWrap/>
            <w:vAlign w:val="bottom"/>
            <w:hideMark/>
          </w:tcPr>
          <w:p w14:paraId="7F2FEACA"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 HTN</w:t>
            </w:r>
          </w:p>
        </w:tc>
        <w:tc>
          <w:tcPr>
            <w:tcW w:w="672" w:type="dxa"/>
            <w:tcBorders>
              <w:top w:val="nil"/>
              <w:left w:val="nil"/>
              <w:bottom w:val="single" w:sz="4" w:space="0" w:color="auto"/>
              <w:right w:val="single" w:sz="4" w:space="0" w:color="auto"/>
            </w:tcBorders>
            <w:noWrap/>
            <w:vAlign w:val="bottom"/>
            <w:hideMark/>
          </w:tcPr>
          <w:p w14:paraId="6C4F3F91"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0.372</w:t>
            </w:r>
          </w:p>
        </w:tc>
        <w:tc>
          <w:tcPr>
            <w:tcW w:w="672" w:type="dxa"/>
            <w:tcBorders>
              <w:top w:val="nil"/>
              <w:left w:val="nil"/>
              <w:bottom w:val="single" w:sz="4" w:space="0" w:color="auto"/>
              <w:right w:val="single" w:sz="4" w:space="0" w:color="auto"/>
            </w:tcBorders>
            <w:noWrap/>
            <w:vAlign w:val="bottom"/>
            <w:hideMark/>
          </w:tcPr>
          <w:p w14:paraId="37468501"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1.364</w:t>
            </w:r>
          </w:p>
        </w:tc>
        <w:tc>
          <w:tcPr>
            <w:tcW w:w="905" w:type="dxa"/>
            <w:tcBorders>
              <w:top w:val="nil"/>
              <w:left w:val="nil"/>
              <w:bottom w:val="single" w:sz="4" w:space="0" w:color="auto"/>
              <w:right w:val="single" w:sz="4" w:space="0" w:color="auto"/>
            </w:tcBorders>
            <w:noWrap/>
            <w:vAlign w:val="bottom"/>
            <w:hideMark/>
          </w:tcPr>
          <w:p w14:paraId="27693D6C" w14:textId="55E6B1DB"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0.76</w:t>
            </w:r>
            <w:r w:rsidR="006F177D">
              <w:rPr>
                <w:rFonts w:asciiTheme="majorBidi" w:eastAsia="Times New Roman" w:hAnsiTheme="majorBidi" w:cstheme="majorBidi"/>
                <w:color w:val="000000"/>
                <w:kern w:val="0"/>
                <w:sz w:val="22"/>
                <w:szCs w:val="22"/>
                <w:lang w:val="en-US" w:eastAsia="en-IN"/>
                <w14:ligatures w14:val="none"/>
              </w:rPr>
              <w:t>0</w:t>
            </w:r>
          </w:p>
        </w:tc>
        <w:tc>
          <w:tcPr>
            <w:tcW w:w="834" w:type="dxa"/>
            <w:tcBorders>
              <w:top w:val="nil"/>
              <w:left w:val="nil"/>
              <w:bottom w:val="single" w:sz="4" w:space="0" w:color="auto"/>
              <w:right w:val="single" w:sz="4" w:space="0" w:color="auto"/>
            </w:tcBorders>
            <w:noWrap/>
            <w:vAlign w:val="bottom"/>
            <w:hideMark/>
          </w:tcPr>
          <w:p w14:paraId="0B662BB5" w14:textId="0E41F45B"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2.45</w:t>
            </w:r>
            <w:r w:rsidR="006F177D">
              <w:rPr>
                <w:rFonts w:asciiTheme="majorBidi" w:eastAsia="Times New Roman" w:hAnsiTheme="majorBidi" w:cstheme="majorBidi"/>
                <w:color w:val="000000"/>
                <w:kern w:val="0"/>
                <w:sz w:val="22"/>
                <w:szCs w:val="22"/>
                <w:lang w:val="en-US" w:eastAsia="en-IN"/>
                <w14:ligatures w14:val="none"/>
              </w:rPr>
              <w:t>0</w:t>
            </w:r>
          </w:p>
        </w:tc>
        <w:tc>
          <w:tcPr>
            <w:tcW w:w="672" w:type="dxa"/>
            <w:tcBorders>
              <w:top w:val="nil"/>
              <w:left w:val="nil"/>
              <w:bottom w:val="single" w:sz="4" w:space="0" w:color="auto"/>
              <w:right w:val="single" w:sz="4" w:space="0" w:color="auto"/>
            </w:tcBorders>
            <w:noWrap/>
            <w:vAlign w:val="bottom"/>
            <w:hideMark/>
          </w:tcPr>
          <w:p w14:paraId="69A77F91"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0.144</w:t>
            </w:r>
          </w:p>
        </w:tc>
        <w:tc>
          <w:tcPr>
            <w:tcW w:w="672" w:type="dxa"/>
            <w:tcBorders>
              <w:top w:val="nil"/>
              <w:left w:val="nil"/>
              <w:bottom w:val="single" w:sz="4" w:space="0" w:color="auto"/>
              <w:right w:val="single" w:sz="4" w:space="0" w:color="auto"/>
            </w:tcBorders>
            <w:noWrap/>
            <w:vAlign w:val="bottom"/>
            <w:hideMark/>
          </w:tcPr>
          <w:p w14:paraId="59D5BC16"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0.624</w:t>
            </w:r>
          </w:p>
        </w:tc>
        <w:tc>
          <w:tcPr>
            <w:tcW w:w="1013" w:type="dxa"/>
            <w:tcBorders>
              <w:top w:val="nil"/>
              <w:left w:val="nil"/>
              <w:bottom w:val="single" w:sz="4" w:space="0" w:color="auto"/>
              <w:right w:val="single" w:sz="4" w:space="0" w:color="auto"/>
            </w:tcBorders>
            <w:noWrap/>
            <w:vAlign w:val="bottom"/>
            <w:hideMark/>
          </w:tcPr>
          <w:p w14:paraId="779D6CBC"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0.35</w:t>
            </w:r>
          </w:p>
        </w:tc>
        <w:tc>
          <w:tcPr>
            <w:tcW w:w="1074" w:type="dxa"/>
            <w:tcBorders>
              <w:top w:val="nil"/>
              <w:left w:val="nil"/>
              <w:bottom w:val="single" w:sz="4" w:space="0" w:color="auto"/>
              <w:right w:val="single" w:sz="4" w:space="0" w:color="auto"/>
            </w:tcBorders>
            <w:noWrap/>
            <w:vAlign w:val="bottom"/>
            <w:hideMark/>
          </w:tcPr>
          <w:p w14:paraId="6D6152D8"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1.111</w:t>
            </w:r>
          </w:p>
        </w:tc>
        <w:tc>
          <w:tcPr>
            <w:tcW w:w="672" w:type="dxa"/>
            <w:tcBorders>
              <w:top w:val="nil"/>
              <w:left w:val="nil"/>
              <w:bottom w:val="single" w:sz="4" w:space="0" w:color="auto"/>
              <w:right w:val="single" w:sz="4" w:space="0" w:color="auto"/>
            </w:tcBorders>
            <w:noWrap/>
            <w:vAlign w:val="bottom"/>
            <w:hideMark/>
          </w:tcPr>
          <w:p w14:paraId="49B40DB2"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0.637</w:t>
            </w:r>
          </w:p>
        </w:tc>
        <w:tc>
          <w:tcPr>
            <w:tcW w:w="672" w:type="dxa"/>
            <w:tcBorders>
              <w:top w:val="nil"/>
              <w:left w:val="nil"/>
              <w:bottom w:val="single" w:sz="4" w:space="0" w:color="auto"/>
              <w:right w:val="single" w:sz="4" w:space="0" w:color="auto"/>
            </w:tcBorders>
            <w:noWrap/>
            <w:vAlign w:val="bottom"/>
            <w:hideMark/>
          </w:tcPr>
          <w:p w14:paraId="1B7E4ECA"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1.22</w:t>
            </w:r>
          </w:p>
        </w:tc>
        <w:tc>
          <w:tcPr>
            <w:tcW w:w="812" w:type="dxa"/>
            <w:tcBorders>
              <w:top w:val="nil"/>
              <w:left w:val="nil"/>
              <w:bottom w:val="single" w:sz="4" w:space="0" w:color="auto"/>
              <w:right w:val="single" w:sz="4" w:space="0" w:color="auto"/>
            </w:tcBorders>
            <w:noWrap/>
            <w:vAlign w:val="bottom"/>
            <w:hideMark/>
          </w:tcPr>
          <w:p w14:paraId="57A16F27"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0.657</w:t>
            </w:r>
          </w:p>
        </w:tc>
        <w:tc>
          <w:tcPr>
            <w:tcW w:w="950" w:type="dxa"/>
            <w:tcBorders>
              <w:top w:val="nil"/>
              <w:left w:val="nil"/>
              <w:bottom w:val="single" w:sz="4" w:space="0" w:color="auto"/>
              <w:right w:val="single" w:sz="4" w:space="0" w:color="auto"/>
            </w:tcBorders>
            <w:noWrap/>
            <w:vAlign w:val="bottom"/>
            <w:hideMark/>
          </w:tcPr>
          <w:p w14:paraId="673207DA" w14:textId="77777777" w:rsidR="005B77A8" w:rsidRPr="003314B7" w:rsidRDefault="005B77A8" w:rsidP="005B77A8">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2.264</w:t>
            </w:r>
          </w:p>
        </w:tc>
      </w:tr>
    </w:tbl>
    <w:p w14:paraId="288A6381" w14:textId="77777777" w:rsidR="005B77A8" w:rsidRPr="003314B7" w:rsidRDefault="005B77A8" w:rsidP="00A54D20">
      <w:pPr>
        <w:jc w:val="both"/>
        <w:rPr>
          <w:lang w:val="en-US"/>
        </w:rPr>
      </w:pPr>
    </w:p>
    <w:p w14:paraId="7B561A0A" w14:textId="5C31813F" w:rsidR="00AD34BD" w:rsidRPr="003314B7" w:rsidRDefault="00AD34BD" w:rsidP="00A54D20">
      <w:pPr>
        <w:jc w:val="both"/>
        <w:rPr>
          <w:lang w:val="en-US"/>
        </w:rPr>
      </w:pPr>
      <w:r w:rsidRPr="003314B7">
        <w:rPr>
          <w:rFonts w:asciiTheme="majorBidi" w:hAnsiTheme="majorBidi" w:cstheme="majorBidi"/>
          <w:b/>
          <w:bCs/>
          <w:lang w:val="en-US"/>
        </w:rPr>
        <w:t>Table 3</w:t>
      </w:r>
      <w:r w:rsidR="00084B00" w:rsidRPr="003314B7">
        <w:rPr>
          <w:rFonts w:asciiTheme="majorBidi" w:hAnsiTheme="majorBidi" w:cstheme="majorBidi"/>
          <w:b/>
          <w:bCs/>
          <w:lang w:val="en-US"/>
        </w:rPr>
        <w:t>:</w:t>
      </w:r>
      <w:r w:rsidRPr="003314B7">
        <w:rPr>
          <w:rFonts w:asciiTheme="majorBidi" w:hAnsiTheme="majorBidi" w:cstheme="majorBidi"/>
          <w:lang w:val="en-US"/>
        </w:rPr>
        <w:t xml:space="preserve"> </w:t>
      </w:r>
      <w:r w:rsidR="005733A8">
        <w:rPr>
          <w:rFonts w:asciiTheme="majorBidi" w:hAnsiTheme="majorBidi" w:cstheme="majorBidi"/>
          <w:lang w:val="en-US"/>
        </w:rPr>
        <w:t>C</w:t>
      </w:r>
      <w:r w:rsidRPr="003314B7">
        <w:rPr>
          <w:rFonts w:asciiTheme="majorBidi" w:hAnsiTheme="majorBidi" w:cstheme="majorBidi"/>
          <w:lang w:val="en-US"/>
        </w:rPr>
        <w:t>hi-square value and estimation of risk (OR) with a 95% Confidence Interval</w:t>
      </w:r>
    </w:p>
    <w:tbl>
      <w:tblPr>
        <w:tblW w:w="8181" w:type="dxa"/>
        <w:tblLook w:val="04A0" w:firstRow="1" w:lastRow="0" w:firstColumn="1" w:lastColumn="0" w:noHBand="0" w:noVBand="1"/>
      </w:tblPr>
      <w:tblGrid>
        <w:gridCol w:w="1480"/>
        <w:gridCol w:w="711"/>
        <w:gridCol w:w="711"/>
        <w:gridCol w:w="948"/>
        <w:gridCol w:w="874"/>
        <w:gridCol w:w="711"/>
        <w:gridCol w:w="711"/>
        <w:gridCol w:w="988"/>
        <w:gridCol w:w="1047"/>
      </w:tblGrid>
      <w:tr w:rsidR="005B1DE2" w:rsidRPr="005D7BDA" w14:paraId="4874671F" w14:textId="77777777" w:rsidTr="003314B7">
        <w:trPr>
          <w:trHeight w:val="29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1F2500FD" w14:textId="77777777" w:rsidR="005B1DE2" w:rsidRPr="003314B7" w:rsidRDefault="005B1DE2" w:rsidP="005D7BDA">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Group</w:t>
            </w:r>
          </w:p>
        </w:tc>
        <w:tc>
          <w:tcPr>
            <w:tcW w:w="6701" w:type="dxa"/>
            <w:gridSpan w:val="8"/>
            <w:tcBorders>
              <w:top w:val="single" w:sz="4" w:space="0" w:color="auto"/>
              <w:left w:val="nil"/>
              <w:bottom w:val="single" w:sz="4" w:space="0" w:color="auto"/>
              <w:right w:val="single" w:sz="4" w:space="0" w:color="auto"/>
            </w:tcBorders>
            <w:noWrap/>
            <w:vAlign w:val="bottom"/>
            <w:hideMark/>
          </w:tcPr>
          <w:p w14:paraId="69A3B570" w14:textId="702DE216" w:rsidR="005B1DE2" w:rsidRPr="003314B7" w:rsidRDefault="0080241E"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ACE </w:t>
            </w:r>
            <w:r w:rsidR="005B1DE2" w:rsidRPr="003314B7">
              <w:rPr>
                <w:rFonts w:asciiTheme="majorBidi" w:eastAsia="Times New Roman" w:hAnsiTheme="majorBidi" w:cstheme="majorBidi"/>
                <w:b/>
                <w:bCs/>
                <w:color w:val="000000"/>
                <w:kern w:val="0"/>
                <w:sz w:val="22"/>
                <w:szCs w:val="22"/>
                <w:lang w:val="en-US" w:eastAsia="en-IN"/>
                <w14:ligatures w14:val="none"/>
              </w:rPr>
              <w:t xml:space="preserve">Alleles </w:t>
            </w:r>
          </w:p>
        </w:tc>
      </w:tr>
      <w:tr w:rsidR="005B1DE2" w:rsidRPr="005D7BDA" w14:paraId="35ED42A0" w14:textId="77777777" w:rsidTr="005B1DE2">
        <w:trPr>
          <w:trHeight w:val="29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34A4FD82" w14:textId="77777777" w:rsidR="005B1DE2" w:rsidRPr="003314B7" w:rsidRDefault="005B1DE2" w:rsidP="005B1DE2">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3244" w:type="dxa"/>
            <w:gridSpan w:val="4"/>
            <w:tcBorders>
              <w:top w:val="single" w:sz="4" w:space="0" w:color="auto"/>
              <w:left w:val="nil"/>
              <w:bottom w:val="single" w:sz="4" w:space="0" w:color="auto"/>
              <w:right w:val="single" w:sz="4" w:space="0" w:color="auto"/>
            </w:tcBorders>
            <w:noWrap/>
            <w:vAlign w:val="bottom"/>
            <w:hideMark/>
          </w:tcPr>
          <w:p w14:paraId="389E379F" w14:textId="350F2B63"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 I allele</w:t>
            </w:r>
          </w:p>
        </w:tc>
        <w:tc>
          <w:tcPr>
            <w:tcW w:w="3457" w:type="dxa"/>
            <w:gridSpan w:val="4"/>
            <w:tcBorders>
              <w:top w:val="single" w:sz="4" w:space="0" w:color="auto"/>
              <w:left w:val="nil"/>
              <w:bottom w:val="single" w:sz="4" w:space="0" w:color="auto"/>
              <w:right w:val="single" w:sz="4" w:space="0" w:color="auto"/>
            </w:tcBorders>
            <w:noWrap/>
            <w:vAlign w:val="bottom"/>
            <w:hideMark/>
          </w:tcPr>
          <w:p w14:paraId="28C8AEF9" w14:textId="45325FB6"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 D allele</w:t>
            </w:r>
          </w:p>
        </w:tc>
      </w:tr>
      <w:tr w:rsidR="005B1DE2" w:rsidRPr="005D7BDA" w14:paraId="204CFC49" w14:textId="77777777" w:rsidTr="005B1DE2">
        <w:trPr>
          <w:trHeight w:val="49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6A21C87E" w14:textId="77777777" w:rsidR="005B1DE2" w:rsidRPr="003314B7" w:rsidRDefault="005B1DE2" w:rsidP="005B1DE2">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711" w:type="dxa"/>
            <w:vMerge w:val="restart"/>
            <w:tcBorders>
              <w:top w:val="nil"/>
              <w:left w:val="single" w:sz="4" w:space="0" w:color="auto"/>
              <w:bottom w:val="single" w:sz="4" w:space="0" w:color="auto"/>
              <w:right w:val="single" w:sz="4" w:space="0" w:color="auto"/>
            </w:tcBorders>
            <w:noWrap/>
            <w:vAlign w:val="bottom"/>
            <w:hideMark/>
          </w:tcPr>
          <w:p w14:paraId="2D1577D8" w14:textId="77777777" w:rsidR="005B1DE2" w:rsidRPr="003314B7" w:rsidRDefault="005B1DE2" w:rsidP="005B1DE2">
            <w:pPr>
              <w:spacing w:after="0" w:line="240" w:lineRule="auto"/>
              <w:jc w:val="center"/>
              <w:rPr>
                <w:rFonts w:asciiTheme="majorBidi" w:eastAsia="Times New Roman" w:hAnsiTheme="majorBidi" w:cstheme="majorBidi"/>
                <w:b/>
                <w:bCs/>
                <w:i/>
                <w:iCs/>
                <w:color w:val="000000"/>
                <w:kern w:val="0"/>
                <w:sz w:val="22"/>
                <w:szCs w:val="22"/>
                <w:lang w:val="en-US" w:eastAsia="en-IN"/>
                <w14:ligatures w14:val="none"/>
              </w:rPr>
            </w:pPr>
            <w:r w:rsidRPr="003314B7">
              <w:rPr>
                <w:rFonts w:asciiTheme="majorBidi" w:eastAsia="Times New Roman" w:hAnsiTheme="majorBidi" w:cstheme="majorBidi"/>
                <w:b/>
                <w:bCs/>
                <w:i/>
                <w:iCs/>
                <w:color w:val="000000"/>
                <w:kern w:val="0"/>
                <w:sz w:val="22"/>
                <w:szCs w:val="22"/>
                <w:lang w:val="en-US" w:eastAsia="en-IN"/>
                <w14:ligatures w14:val="none"/>
              </w:rPr>
              <w:t xml:space="preserve">P </w:t>
            </w:r>
          </w:p>
        </w:tc>
        <w:tc>
          <w:tcPr>
            <w:tcW w:w="711" w:type="dxa"/>
            <w:vMerge w:val="restart"/>
            <w:tcBorders>
              <w:top w:val="nil"/>
              <w:left w:val="single" w:sz="4" w:space="0" w:color="auto"/>
              <w:bottom w:val="single" w:sz="4" w:space="0" w:color="auto"/>
              <w:right w:val="single" w:sz="4" w:space="0" w:color="auto"/>
            </w:tcBorders>
            <w:noWrap/>
            <w:vAlign w:val="bottom"/>
            <w:hideMark/>
          </w:tcPr>
          <w:p w14:paraId="2BA36CCA"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OR </w:t>
            </w:r>
          </w:p>
        </w:tc>
        <w:tc>
          <w:tcPr>
            <w:tcW w:w="1822" w:type="dxa"/>
            <w:gridSpan w:val="2"/>
            <w:tcBorders>
              <w:top w:val="single" w:sz="4" w:space="0" w:color="auto"/>
              <w:left w:val="nil"/>
              <w:bottom w:val="single" w:sz="4" w:space="0" w:color="auto"/>
              <w:right w:val="single" w:sz="4" w:space="0" w:color="auto"/>
            </w:tcBorders>
            <w:shd w:val="clear" w:color="000000" w:fill="FFFFFF"/>
            <w:vAlign w:val="center"/>
            <w:hideMark/>
          </w:tcPr>
          <w:p w14:paraId="37915AA0"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95% Confidence Interval</w:t>
            </w:r>
          </w:p>
        </w:tc>
        <w:tc>
          <w:tcPr>
            <w:tcW w:w="711" w:type="dxa"/>
            <w:vMerge w:val="restart"/>
            <w:tcBorders>
              <w:top w:val="nil"/>
              <w:left w:val="single" w:sz="4" w:space="0" w:color="auto"/>
              <w:bottom w:val="single" w:sz="4" w:space="0" w:color="auto"/>
              <w:right w:val="single" w:sz="4" w:space="0" w:color="auto"/>
            </w:tcBorders>
            <w:noWrap/>
            <w:vAlign w:val="bottom"/>
            <w:hideMark/>
          </w:tcPr>
          <w:p w14:paraId="5E4E6C69" w14:textId="77777777" w:rsidR="005B1DE2" w:rsidRPr="003314B7" w:rsidRDefault="005B1DE2" w:rsidP="005B1DE2">
            <w:pPr>
              <w:spacing w:after="0" w:line="240" w:lineRule="auto"/>
              <w:jc w:val="center"/>
              <w:rPr>
                <w:rFonts w:asciiTheme="majorBidi" w:eastAsia="Times New Roman" w:hAnsiTheme="majorBidi" w:cstheme="majorBidi"/>
                <w:b/>
                <w:bCs/>
                <w:i/>
                <w:iCs/>
                <w:color w:val="000000"/>
                <w:kern w:val="0"/>
                <w:sz w:val="22"/>
                <w:szCs w:val="22"/>
                <w:lang w:val="en-US" w:eastAsia="en-IN"/>
                <w14:ligatures w14:val="none"/>
              </w:rPr>
            </w:pPr>
            <w:r w:rsidRPr="003314B7">
              <w:rPr>
                <w:rFonts w:asciiTheme="majorBidi" w:eastAsia="Times New Roman" w:hAnsiTheme="majorBidi" w:cstheme="majorBidi"/>
                <w:b/>
                <w:bCs/>
                <w:i/>
                <w:iCs/>
                <w:color w:val="000000"/>
                <w:kern w:val="0"/>
                <w:sz w:val="22"/>
                <w:szCs w:val="22"/>
                <w:lang w:val="en-US" w:eastAsia="en-IN"/>
                <w14:ligatures w14:val="none"/>
              </w:rPr>
              <w:t xml:space="preserve">P </w:t>
            </w:r>
          </w:p>
        </w:tc>
        <w:tc>
          <w:tcPr>
            <w:tcW w:w="711" w:type="dxa"/>
            <w:vMerge w:val="restart"/>
            <w:tcBorders>
              <w:top w:val="nil"/>
              <w:left w:val="single" w:sz="4" w:space="0" w:color="auto"/>
              <w:bottom w:val="single" w:sz="4" w:space="0" w:color="auto"/>
              <w:right w:val="single" w:sz="4" w:space="0" w:color="auto"/>
            </w:tcBorders>
            <w:noWrap/>
            <w:vAlign w:val="bottom"/>
            <w:hideMark/>
          </w:tcPr>
          <w:p w14:paraId="01A1F282"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 xml:space="preserve">OR </w:t>
            </w:r>
          </w:p>
        </w:tc>
        <w:tc>
          <w:tcPr>
            <w:tcW w:w="2035" w:type="dxa"/>
            <w:gridSpan w:val="2"/>
            <w:tcBorders>
              <w:top w:val="single" w:sz="4" w:space="0" w:color="auto"/>
              <w:left w:val="nil"/>
              <w:bottom w:val="single" w:sz="4" w:space="0" w:color="auto"/>
              <w:right w:val="single" w:sz="4" w:space="0" w:color="auto"/>
            </w:tcBorders>
            <w:shd w:val="clear" w:color="000000" w:fill="FFFFFF"/>
            <w:vAlign w:val="center"/>
            <w:hideMark/>
          </w:tcPr>
          <w:p w14:paraId="3CE10A18"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95% Confidence Interval</w:t>
            </w:r>
          </w:p>
        </w:tc>
      </w:tr>
      <w:tr w:rsidR="005B1DE2" w:rsidRPr="005D7BDA" w14:paraId="0CA5A5A5" w14:textId="77777777" w:rsidTr="005B1DE2">
        <w:trPr>
          <w:trHeight w:val="29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447738FD" w14:textId="77777777" w:rsidR="005B1DE2" w:rsidRPr="003314B7" w:rsidRDefault="005B1DE2" w:rsidP="005B1DE2">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711" w:type="dxa"/>
            <w:vMerge/>
            <w:tcBorders>
              <w:top w:val="nil"/>
              <w:left w:val="single" w:sz="4" w:space="0" w:color="auto"/>
              <w:bottom w:val="single" w:sz="4" w:space="0" w:color="auto"/>
              <w:right w:val="single" w:sz="4" w:space="0" w:color="auto"/>
            </w:tcBorders>
            <w:vAlign w:val="center"/>
            <w:hideMark/>
          </w:tcPr>
          <w:p w14:paraId="2CD20BCA" w14:textId="77777777" w:rsidR="005B1DE2" w:rsidRPr="003314B7" w:rsidRDefault="005B1DE2" w:rsidP="005B1DE2">
            <w:pPr>
              <w:spacing w:after="0" w:line="240" w:lineRule="auto"/>
              <w:rPr>
                <w:rFonts w:asciiTheme="majorBidi" w:eastAsia="Times New Roman" w:hAnsiTheme="majorBidi" w:cstheme="majorBidi"/>
                <w:b/>
                <w:bCs/>
                <w:i/>
                <w:iCs/>
                <w:color w:val="000000"/>
                <w:kern w:val="0"/>
                <w:sz w:val="22"/>
                <w:szCs w:val="22"/>
                <w:lang w:val="en-US" w:eastAsia="en-IN"/>
                <w14:ligatures w14:val="none"/>
              </w:rPr>
            </w:pPr>
          </w:p>
        </w:tc>
        <w:tc>
          <w:tcPr>
            <w:tcW w:w="711" w:type="dxa"/>
            <w:vMerge/>
            <w:tcBorders>
              <w:top w:val="nil"/>
              <w:left w:val="single" w:sz="4" w:space="0" w:color="auto"/>
              <w:bottom w:val="single" w:sz="4" w:space="0" w:color="auto"/>
              <w:right w:val="single" w:sz="4" w:space="0" w:color="auto"/>
            </w:tcBorders>
            <w:vAlign w:val="center"/>
            <w:hideMark/>
          </w:tcPr>
          <w:p w14:paraId="111B21F9" w14:textId="77777777" w:rsidR="005B1DE2" w:rsidRPr="003314B7" w:rsidRDefault="005B1DE2" w:rsidP="005B1DE2">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948" w:type="dxa"/>
            <w:tcBorders>
              <w:top w:val="nil"/>
              <w:left w:val="nil"/>
              <w:bottom w:val="single" w:sz="4" w:space="0" w:color="auto"/>
              <w:right w:val="single" w:sz="4" w:space="0" w:color="auto"/>
            </w:tcBorders>
            <w:shd w:val="clear" w:color="000000" w:fill="FFFFFF"/>
            <w:vAlign w:val="center"/>
            <w:hideMark/>
          </w:tcPr>
          <w:p w14:paraId="58F2FBE9"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Lower</w:t>
            </w:r>
          </w:p>
        </w:tc>
        <w:tc>
          <w:tcPr>
            <w:tcW w:w="874" w:type="dxa"/>
            <w:tcBorders>
              <w:top w:val="nil"/>
              <w:left w:val="nil"/>
              <w:bottom w:val="single" w:sz="4" w:space="0" w:color="auto"/>
              <w:right w:val="single" w:sz="4" w:space="0" w:color="auto"/>
            </w:tcBorders>
            <w:shd w:val="clear" w:color="000000" w:fill="FFFFFF"/>
            <w:vAlign w:val="center"/>
            <w:hideMark/>
          </w:tcPr>
          <w:p w14:paraId="7CB70B28"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Upper</w:t>
            </w:r>
          </w:p>
        </w:tc>
        <w:tc>
          <w:tcPr>
            <w:tcW w:w="711" w:type="dxa"/>
            <w:vMerge/>
            <w:tcBorders>
              <w:top w:val="nil"/>
              <w:left w:val="single" w:sz="4" w:space="0" w:color="auto"/>
              <w:bottom w:val="single" w:sz="4" w:space="0" w:color="auto"/>
              <w:right w:val="single" w:sz="4" w:space="0" w:color="auto"/>
            </w:tcBorders>
            <w:vAlign w:val="center"/>
            <w:hideMark/>
          </w:tcPr>
          <w:p w14:paraId="153404DB" w14:textId="77777777" w:rsidR="005B1DE2" w:rsidRPr="003314B7" w:rsidRDefault="005B1DE2" w:rsidP="005B1DE2">
            <w:pPr>
              <w:spacing w:after="0" w:line="240" w:lineRule="auto"/>
              <w:rPr>
                <w:rFonts w:asciiTheme="majorBidi" w:eastAsia="Times New Roman" w:hAnsiTheme="majorBidi" w:cstheme="majorBidi"/>
                <w:b/>
                <w:bCs/>
                <w:i/>
                <w:iCs/>
                <w:color w:val="000000"/>
                <w:kern w:val="0"/>
                <w:sz w:val="22"/>
                <w:szCs w:val="22"/>
                <w:lang w:val="en-US" w:eastAsia="en-IN"/>
                <w14:ligatures w14:val="none"/>
              </w:rPr>
            </w:pPr>
          </w:p>
        </w:tc>
        <w:tc>
          <w:tcPr>
            <w:tcW w:w="711" w:type="dxa"/>
            <w:vMerge/>
            <w:tcBorders>
              <w:top w:val="nil"/>
              <w:left w:val="single" w:sz="4" w:space="0" w:color="auto"/>
              <w:bottom w:val="single" w:sz="4" w:space="0" w:color="auto"/>
              <w:right w:val="single" w:sz="4" w:space="0" w:color="auto"/>
            </w:tcBorders>
            <w:vAlign w:val="center"/>
            <w:hideMark/>
          </w:tcPr>
          <w:p w14:paraId="07AAFAD6" w14:textId="77777777" w:rsidR="005B1DE2" w:rsidRPr="003314B7" w:rsidRDefault="005B1DE2" w:rsidP="005B1DE2">
            <w:pPr>
              <w:spacing w:after="0" w:line="240" w:lineRule="auto"/>
              <w:rPr>
                <w:rFonts w:asciiTheme="majorBidi" w:eastAsia="Times New Roman" w:hAnsiTheme="majorBidi" w:cstheme="majorBidi"/>
                <w:b/>
                <w:bCs/>
                <w:color w:val="000000"/>
                <w:kern w:val="0"/>
                <w:sz w:val="22"/>
                <w:szCs w:val="22"/>
                <w:lang w:val="en-US" w:eastAsia="en-IN"/>
                <w14:ligatures w14:val="none"/>
              </w:rPr>
            </w:pPr>
          </w:p>
        </w:tc>
        <w:tc>
          <w:tcPr>
            <w:tcW w:w="988" w:type="dxa"/>
            <w:tcBorders>
              <w:top w:val="nil"/>
              <w:left w:val="nil"/>
              <w:bottom w:val="single" w:sz="4" w:space="0" w:color="auto"/>
              <w:right w:val="single" w:sz="4" w:space="0" w:color="auto"/>
            </w:tcBorders>
            <w:shd w:val="clear" w:color="000000" w:fill="FFFFFF"/>
            <w:vAlign w:val="center"/>
            <w:hideMark/>
          </w:tcPr>
          <w:p w14:paraId="45659CD6"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Lower</w:t>
            </w:r>
          </w:p>
        </w:tc>
        <w:tc>
          <w:tcPr>
            <w:tcW w:w="1047" w:type="dxa"/>
            <w:tcBorders>
              <w:top w:val="nil"/>
              <w:left w:val="nil"/>
              <w:bottom w:val="single" w:sz="4" w:space="0" w:color="auto"/>
              <w:right w:val="single" w:sz="4" w:space="0" w:color="auto"/>
            </w:tcBorders>
            <w:shd w:val="clear" w:color="000000" w:fill="FFFFFF"/>
            <w:vAlign w:val="center"/>
            <w:hideMark/>
          </w:tcPr>
          <w:p w14:paraId="663EA750" w14:textId="77777777" w:rsidR="005B1DE2" w:rsidRPr="003314B7" w:rsidRDefault="005B1DE2" w:rsidP="005B1DE2">
            <w:pPr>
              <w:spacing w:after="0" w:line="240" w:lineRule="auto"/>
              <w:jc w:val="center"/>
              <w:rPr>
                <w:rFonts w:asciiTheme="majorBidi" w:eastAsia="Times New Roman" w:hAnsiTheme="majorBidi" w:cstheme="majorBidi"/>
                <w:b/>
                <w:bCs/>
                <w:color w:val="000000"/>
                <w:kern w:val="0"/>
                <w:sz w:val="22"/>
                <w:szCs w:val="22"/>
                <w:lang w:val="en-US" w:eastAsia="en-IN"/>
                <w14:ligatures w14:val="none"/>
              </w:rPr>
            </w:pPr>
            <w:r w:rsidRPr="003314B7">
              <w:rPr>
                <w:rFonts w:asciiTheme="majorBidi" w:eastAsia="Times New Roman" w:hAnsiTheme="majorBidi" w:cstheme="majorBidi"/>
                <w:b/>
                <w:bCs/>
                <w:color w:val="000000"/>
                <w:kern w:val="0"/>
                <w:sz w:val="22"/>
                <w:szCs w:val="22"/>
                <w:lang w:val="en-US" w:eastAsia="en-IN"/>
                <w14:ligatures w14:val="none"/>
              </w:rPr>
              <w:t>Upper</w:t>
            </w:r>
          </w:p>
        </w:tc>
      </w:tr>
      <w:tr w:rsidR="005B1DE2" w:rsidRPr="005D7BDA" w14:paraId="7A414FEA" w14:textId="77777777" w:rsidTr="005B1DE2">
        <w:trPr>
          <w:trHeight w:val="290"/>
        </w:trPr>
        <w:tc>
          <w:tcPr>
            <w:tcW w:w="1480" w:type="dxa"/>
            <w:tcBorders>
              <w:top w:val="nil"/>
              <w:left w:val="single" w:sz="4" w:space="0" w:color="auto"/>
              <w:bottom w:val="single" w:sz="4" w:space="0" w:color="auto"/>
              <w:right w:val="single" w:sz="4" w:space="0" w:color="auto"/>
            </w:tcBorders>
            <w:noWrap/>
            <w:vAlign w:val="bottom"/>
            <w:hideMark/>
          </w:tcPr>
          <w:p w14:paraId="49D06EE7"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COPD </w:t>
            </w:r>
          </w:p>
        </w:tc>
        <w:tc>
          <w:tcPr>
            <w:tcW w:w="711" w:type="dxa"/>
            <w:tcBorders>
              <w:top w:val="nil"/>
              <w:left w:val="nil"/>
              <w:bottom w:val="single" w:sz="4" w:space="0" w:color="auto"/>
              <w:right w:val="single" w:sz="4" w:space="0" w:color="auto"/>
            </w:tcBorders>
            <w:noWrap/>
            <w:vAlign w:val="bottom"/>
            <w:hideMark/>
          </w:tcPr>
          <w:p w14:paraId="5C3B6417" w14:textId="66B83D51"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0.07</w:t>
            </w:r>
            <w:r w:rsidR="00445DC6">
              <w:rPr>
                <w:rFonts w:asciiTheme="majorBidi" w:eastAsia="Times New Roman" w:hAnsiTheme="majorBidi" w:cstheme="majorBidi"/>
                <w:color w:val="000000"/>
                <w:kern w:val="0"/>
                <w:sz w:val="22"/>
                <w:szCs w:val="22"/>
                <w:lang w:val="en-US" w:eastAsia="en-IN"/>
                <w14:ligatures w14:val="none"/>
              </w:rPr>
              <w:t>0</w:t>
            </w:r>
          </w:p>
        </w:tc>
        <w:tc>
          <w:tcPr>
            <w:tcW w:w="711" w:type="dxa"/>
            <w:tcBorders>
              <w:top w:val="nil"/>
              <w:left w:val="nil"/>
              <w:bottom w:val="single" w:sz="4" w:space="0" w:color="auto"/>
              <w:right w:val="single" w:sz="4" w:space="0" w:color="auto"/>
            </w:tcBorders>
            <w:noWrap/>
            <w:vAlign w:val="bottom"/>
            <w:hideMark/>
          </w:tcPr>
          <w:p w14:paraId="6D7BADD4" w14:textId="45153F9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0.55</w:t>
            </w:r>
            <w:r w:rsidR="00445DC6">
              <w:rPr>
                <w:rFonts w:asciiTheme="majorBidi" w:eastAsia="Times New Roman" w:hAnsiTheme="majorBidi" w:cstheme="majorBidi"/>
                <w:color w:val="000000"/>
                <w:kern w:val="0"/>
                <w:sz w:val="22"/>
                <w:szCs w:val="22"/>
                <w:lang w:val="en-US" w:eastAsia="en-IN"/>
                <w14:ligatures w14:val="none"/>
              </w:rPr>
              <w:t>0</w:t>
            </w:r>
          </w:p>
        </w:tc>
        <w:tc>
          <w:tcPr>
            <w:tcW w:w="948" w:type="dxa"/>
            <w:tcBorders>
              <w:top w:val="nil"/>
              <w:left w:val="nil"/>
              <w:bottom w:val="single" w:sz="4" w:space="0" w:color="auto"/>
              <w:right w:val="single" w:sz="4" w:space="0" w:color="auto"/>
            </w:tcBorders>
            <w:noWrap/>
            <w:vAlign w:val="bottom"/>
            <w:hideMark/>
          </w:tcPr>
          <w:p w14:paraId="3CC8984D"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0.301</w:t>
            </w:r>
          </w:p>
        </w:tc>
        <w:tc>
          <w:tcPr>
            <w:tcW w:w="874" w:type="dxa"/>
            <w:tcBorders>
              <w:top w:val="nil"/>
              <w:left w:val="nil"/>
              <w:bottom w:val="single" w:sz="4" w:space="0" w:color="auto"/>
              <w:right w:val="single" w:sz="4" w:space="0" w:color="auto"/>
            </w:tcBorders>
            <w:noWrap/>
            <w:vAlign w:val="bottom"/>
            <w:hideMark/>
          </w:tcPr>
          <w:p w14:paraId="7687863B"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1.002</w:t>
            </w:r>
          </w:p>
        </w:tc>
        <w:tc>
          <w:tcPr>
            <w:tcW w:w="711" w:type="dxa"/>
            <w:tcBorders>
              <w:top w:val="nil"/>
              <w:left w:val="nil"/>
              <w:bottom w:val="single" w:sz="4" w:space="0" w:color="auto"/>
              <w:right w:val="single" w:sz="4" w:space="0" w:color="auto"/>
            </w:tcBorders>
            <w:noWrap/>
            <w:vAlign w:val="bottom"/>
            <w:hideMark/>
          </w:tcPr>
          <w:p w14:paraId="4835717B"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0.001</w:t>
            </w:r>
          </w:p>
        </w:tc>
        <w:tc>
          <w:tcPr>
            <w:tcW w:w="711" w:type="dxa"/>
            <w:tcBorders>
              <w:top w:val="nil"/>
              <w:left w:val="nil"/>
              <w:bottom w:val="single" w:sz="4" w:space="0" w:color="auto"/>
              <w:right w:val="single" w:sz="4" w:space="0" w:color="auto"/>
            </w:tcBorders>
            <w:noWrap/>
            <w:vAlign w:val="bottom"/>
            <w:hideMark/>
          </w:tcPr>
          <w:p w14:paraId="454F52D3"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4.987</w:t>
            </w:r>
          </w:p>
        </w:tc>
        <w:tc>
          <w:tcPr>
            <w:tcW w:w="988" w:type="dxa"/>
            <w:tcBorders>
              <w:top w:val="nil"/>
              <w:left w:val="nil"/>
              <w:bottom w:val="single" w:sz="4" w:space="0" w:color="auto"/>
              <w:right w:val="single" w:sz="4" w:space="0" w:color="auto"/>
            </w:tcBorders>
            <w:noWrap/>
            <w:vAlign w:val="bottom"/>
            <w:hideMark/>
          </w:tcPr>
          <w:p w14:paraId="0F294C03"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2.674</w:t>
            </w:r>
          </w:p>
        </w:tc>
        <w:tc>
          <w:tcPr>
            <w:tcW w:w="1047" w:type="dxa"/>
            <w:tcBorders>
              <w:top w:val="nil"/>
              <w:left w:val="nil"/>
              <w:bottom w:val="single" w:sz="4" w:space="0" w:color="auto"/>
              <w:right w:val="single" w:sz="4" w:space="0" w:color="auto"/>
            </w:tcBorders>
            <w:noWrap/>
            <w:vAlign w:val="bottom"/>
            <w:hideMark/>
          </w:tcPr>
          <w:p w14:paraId="3E55BD05"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9.299</w:t>
            </w:r>
          </w:p>
        </w:tc>
      </w:tr>
      <w:tr w:rsidR="005B1DE2" w:rsidRPr="005D7BDA" w14:paraId="3A6592A4" w14:textId="77777777" w:rsidTr="005B1DE2">
        <w:trPr>
          <w:trHeight w:val="290"/>
        </w:trPr>
        <w:tc>
          <w:tcPr>
            <w:tcW w:w="1480" w:type="dxa"/>
            <w:tcBorders>
              <w:top w:val="nil"/>
              <w:left w:val="single" w:sz="4" w:space="0" w:color="auto"/>
              <w:bottom w:val="single" w:sz="4" w:space="0" w:color="auto"/>
              <w:right w:val="single" w:sz="4" w:space="0" w:color="auto"/>
            </w:tcBorders>
            <w:noWrap/>
            <w:vAlign w:val="bottom"/>
            <w:hideMark/>
          </w:tcPr>
          <w:p w14:paraId="36A3C1D0" w14:textId="7238294C"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COPD</w:t>
            </w:r>
            <w:r w:rsidR="005733A8">
              <w:rPr>
                <w:rFonts w:asciiTheme="majorBidi" w:eastAsia="Times New Roman" w:hAnsiTheme="majorBidi" w:cstheme="majorBidi"/>
                <w:color w:val="000000"/>
                <w:kern w:val="0"/>
                <w:sz w:val="22"/>
                <w:szCs w:val="22"/>
                <w:lang w:val="en-US" w:eastAsia="en-IN"/>
                <w14:ligatures w14:val="none"/>
              </w:rPr>
              <w:t>+</w:t>
            </w:r>
            <w:r w:rsidRPr="003314B7">
              <w:rPr>
                <w:rFonts w:asciiTheme="majorBidi" w:eastAsia="Times New Roman" w:hAnsiTheme="majorBidi" w:cstheme="majorBidi"/>
                <w:color w:val="000000"/>
                <w:kern w:val="0"/>
                <w:sz w:val="22"/>
                <w:szCs w:val="22"/>
                <w:lang w:val="en-US" w:eastAsia="en-IN"/>
                <w14:ligatures w14:val="none"/>
              </w:rPr>
              <w:t>HTN</w:t>
            </w:r>
          </w:p>
        </w:tc>
        <w:tc>
          <w:tcPr>
            <w:tcW w:w="711" w:type="dxa"/>
            <w:tcBorders>
              <w:top w:val="nil"/>
              <w:left w:val="nil"/>
              <w:bottom w:val="single" w:sz="4" w:space="0" w:color="auto"/>
              <w:right w:val="single" w:sz="4" w:space="0" w:color="auto"/>
            </w:tcBorders>
            <w:noWrap/>
            <w:vAlign w:val="bottom"/>
            <w:hideMark/>
          </w:tcPr>
          <w:p w14:paraId="434F2181"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0.219</w:t>
            </w:r>
          </w:p>
        </w:tc>
        <w:tc>
          <w:tcPr>
            <w:tcW w:w="711" w:type="dxa"/>
            <w:tcBorders>
              <w:top w:val="nil"/>
              <w:left w:val="nil"/>
              <w:bottom w:val="single" w:sz="4" w:space="0" w:color="auto"/>
              <w:right w:val="single" w:sz="4" w:space="0" w:color="auto"/>
            </w:tcBorders>
            <w:noWrap/>
            <w:vAlign w:val="bottom"/>
            <w:hideMark/>
          </w:tcPr>
          <w:p w14:paraId="4DC51CA4"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0.653</w:t>
            </w:r>
          </w:p>
        </w:tc>
        <w:tc>
          <w:tcPr>
            <w:tcW w:w="948" w:type="dxa"/>
            <w:tcBorders>
              <w:top w:val="nil"/>
              <w:left w:val="nil"/>
              <w:bottom w:val="single" w:sz="4" w:space="0" w:color="auto"/>
              <w:right w:val="single" w:sz="4" w:space="0" w:color="auto"/>
            </w:tcBorders>
            <w:noWrap/>
            <w:vAlign w:val="bottom"/>
            <w:hideMark/>
          </w:tcPr>
          <w:p w14:paraId="1DE8A40F"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0.356</w:t>
            </w:r>
          </w:p>
        </w:tc>
        <w:tc>
          <w:tcPr>
            <w:tcW w:w="874" w:type="dxa"/>
            <w:tcBorders>
              <w:top w:val="nil"/>
              <w:left w:val="nil"/>
              <w:bottom w:val="single" w:sz="4" w:space="0" w:color="auto"/>
              <w:right w:val="single" w:sz="4" w:space="0" w:color="auto"/>
            </w:tcBorders>
            <w:noWrap/>
            <w:vAlign w:val="bottom"/>
            <w:hideMark/>
          </w:tcPr>
          <w:p w14:paraId="00EA9D2F"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1.197</w:t>
            </w:r>
          </w:p>
        </w:tc>
        <w:tc>
          <w:tcPr>
            <w:tcW w:w="711" w:type="dxa"/>
            <w:tcBorders>
              <w:top w:val="nil"/>
              <w:left w:val="nil"/>
              <w:bottom w:val="single" w:sz="4" w:space="0" w:color="auto"/>
              <w:right w:val="single" w:sz="4" w:space="0" w:color="auto"/>
            </w:tcBorders>
            <w:noWrap/>
            <w:vAlign w:val="bottom"/>
            <w:hideMark/>
          </w:tcPr>
          <w:p w14:paraId="439CBD5C"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0.001</w:t>
            </w:r>
          </w:p>
        </w:tc>
        <w:tc>
          <w:tcPr>
            <w:tcW w:w="711" w:type="dxa"/>
            <w:tcBorders>
              <w:top w:val="nil"/>
              <w:left w:val="nil"/>
              <w:bottom w:val="single" w:sz="4" w:space="0" w:color="auto"/>
              <w:right w:val="single" w:sz="4" w:space="0" w:color="auto"/>
            </w:tcBorders>
            <w:noWrap/>
            <w:vAlign w:val="bottom"/>
            <w:hideMark/>
          </w:tcPr>
          <w:p w14:paraId="6F194F7B"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2.691</w:t>
            </w:r>
          </w:p>
        </w:tc>
        <w:tc>
          <w:tcPr>
            <w:tcW w:w="988" w:type="dxa"/>
            <w:tcBorders>
              <w:top w:val="nil"/>
              <w:left w:val="nil"/>
              <w:bottom w:val="single" w:sz="4" w:space="0" w:color="auto"/>
              <w:right w:val="single" w:sz="4" w:space="0" w:color="auto"/>
            </w:tcBorders>
            <w:noWrap/>
            <w:vAlign w:val="bottom"/>
            <w:hideMark/>
          </w:tcPr>
          <w:p w14:paraId="390B1DEA"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1.515</w:t>
            </w:r>
          </w:p>
        </w:tc>
        <w:tc>
          <w:tcPr>
            <w:tcW w:w="1047" w:type="dxa"/>
            <w:tcBorders>
              <w:top w:val="nil"/>
              <w:left w:val="nil"/>
              <w:bottom w:val="single" w:sz="4" w:space="0" w:color="auto"/>
              <w:right w:val="single" w:sz="4" w:space="0" w:color="auto"/>
            </w:tcBorders>
            <w:noWrap/>
            <w:vAlign w:val="bottom"/>
            <w:hideMark/>
          </w:tcPr>
          <w:p w14:paraId="7A877A23"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4.782</w:t>
            </w:r>
          </w:p>
        </w:tc>
      </w:tr>
      <w:tr w:rsidR="005B1DE2" w:rsidRPr="005D7BDA" w14:paraId="0EB76465" w14:textId="77777777" w:rsidTr="005B1DE2">
        <w:trPr>
          <w:trHeight w:val="290"/>
        </w:trPr>
        <w:tc>
          <w:tcPr>
            <w:tcW w:w="1480" w:type="dxa"/>
            <w:tcBorders>
              <w:top w:val="nil"/>
              <w:left w:val="single" w:sz="4" w:space="0" w:color="auto"/>
              <w:bottom w:val="single" w:sz="4" w:space="0" w:color="auto"/>
              <w:right w:val="single" w:sz="4" w:space="0" w:color="auto"/>
            </w:tcBorders>
            <w:noWrap/>
            <w:vAlign w:val="bottom"/>
            <w:hideMark/>
          </w:tcPr>
          <w:p w14:paraId="65B77637"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 xml:space="preserve"> HTN</w:t>
            </w:r>
          </w:p>
        </w:tc>
        <w:tc>
          <w:tcPr>
            <w:tcW w:w="711" w:type="dxa"/>
            <w:tcBorders>
              <w:top w:val="nil"/>
              <w:left w:val="nil"/>
              <w:bottom w:val="single" w:sz="4" w:space="0" w:color="auto"/>
              <w:right w:val="single" w:sz="4" w:space="0" w:color="auto"/>
            </w:tcBorders>
            <w:noWrap/>
            <w:vAlign w:val="bottom"/>
            <w:hideMark/>
          </w:tcPr>
          <w:p w14:paraId="4A3F179D"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0.637</w:t>
            </w:r>
          </w:p>
        </w:tc>
        <w:tc>
          <w:tcPr>
            <w:tcW w:w="711" w:type="dxa"/>
            <w:tcBorders>
              <w:top w:val="nil"/>
              <w:left w:val="nil"/>
              <w:bottom w:val="single" w:sz="4" w:space="0" w:color="auto"/>
              <w:right w:val="single" w:sz="4" w:space="0" w:color="auto"/>
            </w:tcBorders>
            <w:noWrap/>
            <w:vAlign w:val="bottom"/>
            <w:hideMark/>
          </w:tcPr>
          <w:p w14:paraId="7179B0A2" w14:textId="5B3564A9"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0.82</w:t>
            </w:r>
            <w:r w:rsidR="00445DC6">
              <w:rPr>
                <w:rFonts w:asciiTheme="majorBidi" w:eastAsia="Times New Roman" w:hAnsiTheme="majorBidi" w:cstheme="majorBidi"/>
                <w:color w:val="000000"/>
                <w:kern w:val="0"/>
                <w:sz w:val="22"/>
                <w:szCs w:val="22"/>
                <w:lang w:val="en-US" w:eastAsia="en-IN"/>
                <w14:ligatures w14:val="none"/>
              </w:rPr>
              <w:t>0</w:t>
            </w:r>
          </w:p>
        </w:tc>
        <w:tc>
          <w:tcPr>
            <w:tcW w:w="948" w:type="dxa"/>
            <w:tcBorders>
              <w:top w:val="nil"/>
              <w:left w:val="nil"/>
              <w:bottom w:val="single" w:sz="4" w:space="0" w:color="auto"/>
              <w:right w:val="single" w:sz="4" w:space="0" w:color="auto"/>
            </w:tcBorders>
            <w:noWrap/>
            <w:vAlign w:val="bottom"/>
            <w:hideMark/>
          </w:tcPr>
          <w:p w14:paraId="647A2572"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0.442</w:t>
            </w:r>
          </w:p>
        </w:tc>
        <w:tc>
          <w:tcPr>
            <w:tcW w:w="874" w:type="dxa"/>
            <w:tcBorders>
              <w:top w:val="nil"/>
              <w:left w:val="nil"/>
              <w:bottom w:val="single" w:sz="4" w:space="0" w:color="auto"/>
              <w:right w:val="single" w:sz="4" w:space="0" w:color="auto"/>
            </w:tcBorders>
            <w:noWrap/>
            <w:vAlign w:val="bottom"/>
            <w:hideMark/>
          </w:tcPr>
          <w:p w14:paraId="3CFB6426"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1.522</w:t>
            </w:r>
          </w:p>
        </w:tc>
        <w:tc>
          <w:tcPr>
            <w:tcW w:w="711" w:type="dxa"/>
            <w:tcBorders>
              <w:top w:val="nil"/>
              <w:left w:val="nil"/>
              <w:bottom w:val="single" w:sz="4" w:space="0" w:color="auto"/>
              <w:right w:val="single" w:sz="4" w:space="0" w:color="auto"/>
            </w:tcBorders>
            <w:noWrap/>
            <w:vAlign w:val="bottom"/>
            <w:hideMark/>
          </w:tcPr>
          <w:p w14:paraId="133DE890"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0.011</w:t>
            </w:r>
          </w:p>
        </w:tc>
        <w:tc>
          <w:tcPr>
            <w:tcW w:w="711" w:type="dxa"/>
            <w:tcBorders>
              <w:top w:val="nil"/>
              <w:left w:val="nil"/>
              <w:bottom w:val="single" w:sz="4" w:space="0" w:color="auto"/>
              <w:right w:val="single" w:sz="4" w:space="0" w:color="auto"/>
            </w:tcBorders>
            <w:noWrap/>
            <w:vAlign w:val="bottom"/>
            <w:hideMark/>
          </w:tcPr>
          <w:p w14:paraId="490F9F39"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2.136</w:t>
            </w:r>
          </w:p>
        </w:tc>
        <w:tc>
          <w:tcPr>
            <w:tcW w:w="988" w:type="dxa"/>
            <w:tcBorders>
              <w:top w:val="nil"/>
              <w:left w:val="nil"/>
              <w:bottom w:val="single" w:sz="4" w:space="0" w:color="auto"/>
              <w:right w:val="single" w:sz="4" w:space="0" w:color="auto"/>
            </w:tcBorders>
            <w:noWrap/>
            <w:vAlign w:val="bottom"/>
            <w:hideMark/>
          </w:tcPr>
          <w:p w14:paraId="775C2F69"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1.229</w:t>
            </w:r>
          </w:p>
        </w:tc>
        <w:tc>
          <w:tcPr>
            <w:tcW w:w="1047" w:type="dxa"/>
            <w:tcBorders>
              <w:top w:val="nil"/>
              <w:left w:val="nil"/>
              <w:bottom w:val="single" w:sz="4" w:space="0" w:color="auto"/>
              <w:right w:val="single" w:sz="4" w:space="0" w:color="auto"/>
            </w:tcBorders>
            <w:noWrap/>
            <w:vAlign w:val="bottom"/>
            <w:hideMark/>
          </w:tcPr>
          <w:p w14:paraId="2693C9F4" w14:textId="77777777" w:rsidR="005B1DE2" w:rsidRPr="003314B7" w:rsidRDefault="005B1DE2" w:rsidP="005B1DE2">
            <w:pPr>
              <w:spacing w:after="0" w:line="240" w:lineRule="auto"/>
              <w:jc w:val="center"/>
              <w:rPr>
                <w:rFonts w:asciiTheme="majorBidi" w:eastAsia="Times New Roman" w:hAnsiTheme="majorBidi" w:cstheme="majorBidi"/>
                <w:color w:val="000000"/>
                <w:kern w:val="0"/>
                <w:sz w:val="22"/>
                <w:szCs w:val="22"/>
                <w:lang w:val="en-US" w:eastAsia="en-IN"/>
                <w14:ligatures w14:val="none"/>
              </w:rPr>
            </w:pPr>
            <w:r w:rsidRPr="003314B7">
              <w:rPr>
                <w:rFonts w:asciiTheme="majorBidi" w:eastAsia="Times New Roman" w:hAnsiTheme="majorBidi" w:cstheme="majorBidi"/>
                <w:color w:val="000000"/>
                <w:kern w:val="0"/>
                <w:sz w:val="22"/>
                <w:szCs w:val="22"/>
                <w:lang w:val="en-US" w:eastAsia="en-IN"/>
                <w14:ligatures w14:val="none"/>
              </w:rPr>
              <w:t>3.807</w:t>
            </w:r>
          </w:p>
        </w:tc>
      </w:tr>
    </w:tbl>
    <w:p w14:paraId="47CE050F" w14:textId="77777777" w:rsidR="005B1DE2" w:rsidRPr="003314B7" w:rsidRDefault="005B1DE2" w:rsidP="001C40FD">
      <w:pPr>
        <w:jc w:val="both"/>
        <w:rPr>
          <w:lang w:val="en-US"/>
        </w:rPr>
      </w:pPr>
    </w:p>
    <w:p w14:paraId="6318E66A" w14:textId="77777777" w:rsidR="005B1DE2" w:rsidRDefault="005B1DE2" w:rsidP="001C40FD">
      <w:pPr>
        <w:jc w:val="both"/>
        <w:rPr>
          <w:lang w:val="en-US"/>
        </w:rPr>
      </w:pPr>
    </w:p>
    <w:p w14:paraId="21DEE316" w14:textId="77777777" w:rsidR="000425C1" w:rsidRDefault="000425C1" w:rsidP="001C40FD">
      <w:pPr>
        <w:jc w:val="both"/>
        <w:rPr>
          <w:lang w:val="en-US"/>
        </w:rPr>
      </w:pPr>
    </w:p>
    <w:p w14:paraId="5CC8A161" w14:textId="77777777" w:rsidR="000425C1" w:rsidRPr="003314B7" w:rsidRDefault="000425C1" w:rsidP="001C40FD">
      <w:pPr>
        <w:jc w:val="both"/>
        <w:rPr>
          <w:lang w:val="en-US"/>
        </w:rPr>
      </w:pPr>
    </w:p>
    <w:p w14:paraId="7EE716BE" w14:textId="77777777" w:rsidR="006E6387" w:rsidRPr="003314B7" w:rsidRDefault="006E6387" w:rsidP="009C03A0">
      <w:pPr>
        <w:rPr>
          <w:b/>
          <w:bCs/>
          <w:lang w:val="en-US"/>
        </w:rPr>
      </w:pPr>
    </w:p>
    <w:p w14:paraId="7A27EF66" w14:textId="2E07DE47" w:rsidR="009C03A0" w:rsidRPr="003314B7" w:rsidRDefault="009C03A0" w:rsidP="003314B7">
      <w:pPr>
        <w:spacing w:line="360" w:lineRule="auto"/>
        <w:jc w:val="both"/>
        <w:rPr>
          <w:rFonts w:asciiTheme="majorBidi" w:hAnsiTheme="majorBidi" w:cstheme="majorBidi"/>
          <w:b/>
          <w:bCs/>
          <w:lang w:val="en-US"/>
        </w:rPr>
      </w:pPr>
      <w:r w:rsidRPr="003314B7">
        <w:rPr>
          <w:rFonts w:asciiTheme="majorBidi" w:hAnsiTheme="majorBidi" w:cstheme="majorBidi"/>
          <w:b/>
          <w:bCs/>
          <w:lang w:val="en-US"/>
        </w:rPr>
        <w:t>Discussion</w:t>
      </w:r>
    </w:p>
    <w:p w14:paraId="0D018FAC" w14:textId="4ACCBFB1" w:rsidR="009C03A0" w:rsidRPr="003314B7" w:rsidRDefault="009C03A0" w:rsidP="003314B7">
      <w:pPr>
        <w:spacing w:line="360" w:lineRule="auto"/>
        <w:jc w:val="both"/>
        <w:rPr>
          <w:rFonts w:asciiTheme="majorBidi" w:hAnsiTheme="majorBidi" w:cstheme="majorBidi"/>
          <w:lang w:val="en-US"/>
        </w:rPr>
      </w:pPr>
      <w:r w:rsidRPr="003314B7">
        <w:rPr>
          <w:rFonts w:asciiTheme="majorBidi" w:hAnsiTheme="majorBidi" w:cstheme="majorBidi"/>
          <w:lang w:val="en-US"/>
        </w:rPr>
        <w:t xml:space="preserve">ACE is produced </w:t>
      </w:r>
      <w:r w:rsidR="00BF659E" w:rsidRPr="003314B7">
        <w:rPr>
          <w:rFonts w:asciiTheme="majorBidi" w:hAnsiTheme="majorBidi" w:cstheme="majorBidi"/>
          <w:lang w:val="en-US"/>
        </w:rPr>
        <w:t>by epithelial,  endothelial, and neuronal cells. It</w:t>
      </w:r>
      <w:r w:rsidR="004C53E2" w:rsidRPr="003314B7">
        <w:rPr>
          <w:rFonts w:asciiTheme="majorBidi" w:hAnsiTheme="majorBidi" w:cstheme="majorBidi"/>
          <w:lang w:val="en-US"/>
        </w:rPr>
        <w:t xml:space="preserve"> is an endopeptidase that contains two catalytic domains</w:t>
      </w:r>
      <w:r w:rsidRPr="003314B7">
        <w:rPr>
          <w:rFonts w:asciiTheme="majorBidi" w:hAnsiTheme="majorBidi" w:cstheme="majorBidi"/>
          <w:lang w:val="en-US"/>
        </w:rPr>
        <w:t xml:space="preserve">. It exists in both soluble </w:t>
      </w:r>
      <w:r w:rsidR="00312CF9" w:rsidRPr="003314B7">
        <w:rPr>
          <w:rFonts w:asciiTheme="majorBidi" w:hAnsiTheme="majorBidi" w:cstheme="majorBidi"/>
          <w:lang w:val="en-US"/>
        </w:rPr>
        <w:t xml:space="preserve">and membrane-bound </w:t>
      </w:r>
      <w:r w:rsidRPr="003314B7">
        <w:rPr>
          <w:rFonts w:asciiTheme="majorBidi" w:hAnsiTheme="majorBidi" w:cstheme="majorBidi"/>
          <w:lang w:val="en-US"/>
        </w:rPr>
        <w:t>forms</w:t>
      </w:r>
      <w:r w:rsidR="005353CF">
        <w:rPr>
          <w:rFonts w:asciiTheme="majorBidi" w:hAnsiTheme="majorBidi" w:cstheme="majorBidi"/>
          <w:lang w:val="en-US"/>
        </w:rPr>
        <w:t xml:space="preserve"> </w:t>
      </w:r>
      <w:r w:rsidRPr="003314B7">
        <w:rPr>
          <w:rFonts w:asciiTheme="majorBidi" w:hAnsiTheme="majorBidi" w:cstheme="majorBidi"/>
          <w:lang w:val="en-US"/>
        </w:rPr>
        <w:t>(5,13). The primary role of ACE is connected to the RAS system, where it helps convert angiotensin I, a non-vasoactive precursor, into Ang II, a vasoconstrictor, while also aiding in breaking down the vasodilator bradykinin</w:t>
      </w:r>
      <w:r w:rsidR="00216217">
        <w:rPr>
          <w:rFonts w:asciiTheme="majorBidi" w:hAnsiTheme="majorBidi" w:cstheme="majorBidi"/>
          <w:lang w:val="en-US"/>
        </w:rPr>
        <w:t xml:space="preserve"> </w:t>
      </w:r>
      <w:r w:rsidRPr="003314B7">
        <w:rPr>
          <w:rFonts w:asciiTheme="majorBidi" w:hAnsiTheme="majorBidi" w:cstheme="majorBidi"/>
          <w:lang w:val="en-US"/>
        </w:rPr>
        <w:t>(17</w:t>
      </w:r>
      <w:r w:rsidR="00CE01A9" w:rsidRPr="003314B7">
        <w:rPr>
          <w:rFonts w:asciiTheme="majorBidi" w:hAnsiTheme="majorBidi" w:cstheme="majorBidi"/>
          <w:lang w:val="en-US"/>
        </w:rPr>
        <w:t>,18</w:t>
      </w:r>
      <w:r w:rsidRPr="003314B7">
        <w:rPr>
          <w:rFonts w:asciiTheme="majorBidi" w:hAnsiTheme="majorBidi" w:cstheme="majorBidi"/>
          <w:lang w:val="en-US"/>
        </w:rPr>
        <w:t>).</w:t>
      </w:r>
    </w:p>
    <w:p w14:paraId="3A901C3D" w14:textId="31036A6B" w:rsidR="00AC4F6B" w:rsidRPr="003314B7" w:rsidRDefault="009C03A0" w:rsidP="000425C1">
      <w:pPr>
        <w:spacing w:line="360" w:lineRule="auto"/>
        <w:jc w:val="both"/>
        <w:rPr>
          <w:rFonts w:asciiTheme="majorBidi" w:hAnsiTheme="majorBidi" w:cstheme="majorBidi"/>
          <w:lang w:val="en-US"/>
        </w:rPr>
      </w:pPr>
      <w:r w:rsidRPr="003314B7">
        <w:rPr>
          <w:rFonts w:asciiTheme="majorBidi" w:hAnsiTheme="majorBidi" w:cstheme="majorBidi"/>
          <w:lang w:val="en-US"/>
        </w:rPr>
        <w:t xml:space="preserve">The current study demonstrates that there is no significant correlation </w:t>
      </w:r>
      <w:r w:rsidR="00043A24" w:rsidRPr="003314B7">
        <w:rPr>
          <w:rFonts w:asciiTheme="majorBidi" w:hAnsiTheme="majorBidi" w:cstheme="majorBidi"/>
          <w:lang w:val="en-US"/>
        </w:rPr>
        <w:t>between the presence or absence of II</w:t>
      </w:r>
      <w:r w:rsidR="00FB5B09" w:rsidRPr="003314B7">
        <w:rPr>
          <w:rFonts w:asciiTheme="majorBidi" w:hAnsiTheme="majorBidi" w:cstheme="majorBidi"/>
          <w:lang w:val="en-US"/>
        </w:rPr>
        <w:t>,</w:t>
      </w:r>
      <w:r w:rsidR="00043A24" w:rsidRPr="003314B7">
        <w:rPr>
          <w:rFonts w:asciiTheme="majorBidi" w:hAnsiTheme="majorBidi" w:cstheme="majorBidi"/>
          <w:lang w:val="en-US"/>
        </w:rPr>
        <w:t xml:space="preserve"> ID, or </w:t>
      </w:r>
      <w:r w:rsidRPr="003314B7">
        <w:rPr>
          <w:rFonts w:asciiTheme="majorBidi" w:hAnsiTheme="majorBidi" w:cstheme="majorBidi"/>
          <w:lang w:val="en-US"/>
        </w:rPr>
        <w:t xml:space="preserve">DD genotypes in cases versus controls </w:t>
      </w:r>
      <w:r w:rsidR="005733A8">
        <w:rPr>
          <w:rFonts w:asciiTheme="majorBidi" w:hAnsiTheme="majorBidi" w:cstheme="majorBidi"/>
          <w:lang w:val="en-US"/>
        </w:rPr>
        <w:t>(Table 2)</w:t>
      </w:r>
      <w:r w:rsidRPr="003314B7">
        <w:rPr>
          <w:rFonts w:asciiTheme="majorBidi" w:hAnsiTheme="majorBidi" w:cstheme="majorBidi"/>
          <w:lang w:val="en-US"/>
        </w:rPr>
        <w:t xml:space="preserve">. However, previous research suggests that the DD genotype of the ACE gene is typically associated with higher levels of </w:t>
      </w:r>
      <w:r w:rsidR="007437DA" w:rsidRPr="003314B7">
        <w:rPr>
          <w:rFonts w:asciiTheme="majorBidi" w:hAnsiTheme="majorBidi" w:cstheme="majorBidi"/>
          <w:lang w:val="en-US"/>
        </w:rPr>
        <w:t xml:space="preserve">both </w:t>
      </w:r>
      <w:r w:rsidR="007C040D" w:rsidRPr="003314B7">
        <w:rPr>
          <w:rFonts w:asciiTheme="majorBidi" w:hAnsiTheme="majorBidi" w:cstheme="majorBidi"/>
          <w:lang w:val="en-US"/>
        </w:rPr>
        <w:t xml:space="preserve">cellular and </w:t>
      </w:r>
      <w:r w:rsidRPr="003314B7">
        <w:rPr>
          <w:rFonts w:asciiTheme="majorBidi" w:hAnsiTheme="majorBidi" w:cstheme="majorBidi"/>
          <w:lang w:val="en-US"/>
        </w:rPr>
        <w:t>circulating ACE</w:t>
      </w:r>
      <w:r w:rsidR="00FB5B09" w:rsidRPr="003314B7">
        <w:rPr>
          <w:rFonts w:asciiTheme="majorBidi" w:hAnsiTheme="majorBidi" w:cstheme="majorBidi"/>
          <w:lang w:val="en-US"/>
        </w:rPr>
        <w:t>, as well as</w:t>
      </w:r>
      <w:r w:rsidR="007C040D" w:rsidRPr="003314B7">
        <w:rPr>
          <w:rFonts w:asciiTheme="majorBidi" w:hAnsiTheme="majorBidi" w:cstheme="majorBidi"/>
          <w:lang w:val="en-US"/>
        </w:rPr>
        <w:t xml:space="preserve"> an </w:t>
      </w:r>
      <w:r w:rsidRPr="003314B7">
        <w:rPr>
          <w:rFonts w:asciiTheme="majorBidi" w:hAnsiTheme="majorBidi" w:cstheme="majorBidi"/>
          <w:lang w:val="en-US"/>
        </w:rPr>
        <w:t>increased risk of cardiovascular problems</w:t>
      </w:r>
      <w:r w:rsidR="00216217">
        <w:rPr>
          <w:rFonts w:asciiTheme="majorBidi" w:hAnsiTheme="majorBidi" w:cstheme="majorBidi"/>
          <w:lang w:val="en-US"/>
        </w:rPr>
        <w:t xml:space="preserve"> </w:t>
      </w:r>
      <w:r w:rsidRPr="003314B7">
        <w:rPr>
          <w:rFonts w:asciiTheme="majorBidi" w:hAnsiTheme="majorBidi" w:cstheme="majorBidi"/>
          <w:lang w:val="en-US"/>
        </w:rPr>
        <w:t>(19-22)</w:t>
      </w:r>
      <w:r w:rsidR="00216217">
        <w:rPr>
          <w:rFonts w:asciiTheme="majorBidi" w:hAnsiTheme="majorBidi" w:cstheme="majorBidi"/>
          <w:lang w:val="en-US"/>
        </w:rPr>
        <w:t xml:space="preserve">. </w:t>
      </w:r>
      <w:r w:rsidR="005733A8">
        <w:rPr>
          <w:rFonts w:asciiTheme="majorBidi" w:hAnsiTheme="majorBidi" w:cstheme="majorBidi"/>
          <w:lang w:val="en-US"/>
        </w:rPr>
        <w:t>In contrast</w:t>
      </w:r>
      <w:r w:rsidR="00216217">
        <w:rPr>
          <w:rFonts w:asciiTheme="majorBidi" w:hAnsiTheme="majorBidi" w:cstheme="majorBidi"/>
          <w:lang w:val="en-US"/>
        </w:rPr>
        <w:t>,</w:t>
      </w:r>
      <w:r w:rsidR="0075605A" w:rsidRPr="003314B7">
        <w:rPr>
          <w:rFonts w:asciiTheme="majorBidi" w:hAnsiTheme="majorBidi" w:cstheme="majorBidi"/>
          <w:lang w:val="en-US"/>
        </w:rPr>
        <w:t xml:space="preserve"> </w:t>
      </w:r>
      <w:r w:rsidR="00216217">
        <w:rPr>
          <w:rFonts w:asciiTheme="majorBidi" w:hAnsiTheme="majorBidi" w:cstheme="majorBidi"/>
          <w:lang w:val="en-US"/>
        </w:rPr>
        <w:t>t</w:t>
      </w:r>
      <w:r w:rsidRPr="003314B7">
        <w:rPr>
          <w:rFonts w:asciiTheme="majorBidi" w:hAnsiTheme="majorBidi" w:cstheme="majorBidi"/>
          <w:lang w:val="en-US"/>
        </w:rPr>
        <w:t xml:space="preserve">he results </w:t>
      </w:r>
      <w:r w:rsidR="005733A8">
        <w:rPr>
          <w:rFonts w:asciiTheme="majorBidi" w:hAnsiTheme="majorBidi" w:cstheme="majorBidi"/>
          <w:lang w:val="en-US"/>
        </w:rPr>
        <w:t>showed</w:t>
      </w:r>
      <w:r w:rsidR="005733A8" w:rsidRPr="003314B7">
        <w:rPr>
          <w:rFonts w:asciiTheme="majorBidi" w:hAnsiTheme="majorBidi" w:cstheme="majorBidi"/>
          <w:lang w:val="en-US"/>
        </w:rPr>
        <w:t xml:space="preserve"> </w:t>
      </w:r>
      <w:r w:rsidR="00E9018C" w:rsidRPr="003314B7">
        <w:rPr>
          <w:rFonts w:asciiTheme="majorBidi" w:hAnsiTheme="majorBidi" w:cstheme="majorBidi"/>
          <w:lang w:val="en-US"/>
        </w:rPr>
        <w:t xml:space="preserve">a </w:t>
      </w:r>
      <w:r w:rsidRPr="003314B7">
        <w:rPr>
          <w:rFonts w:asciiTheme="majorBidi" w:hAnsiTheme="majorBidi" w:cstheme="majorBidi"/>
          <w:lang w:val="en-US"/>
        </w:rPr>
        <w:t xml:space="preserve">significant association between the presence of the D allele and the </w:t>
      </w:r>
      <w:r w:rsidR="00597FFA" w:rsidRPr="003314B7">
        <w:rPr>
          <w:rFonts w:asciiTheme="majorBidi" w:hAnsiTheme="majorBidi" w:cstheme="majorBidi"/>
          <w:lang w:val="en-US"/>
        </w:rPr>
        <w:t>incidence of COP</w:t>
      </w:r>
      <w:r w:rsidR="00C61E72" w:rsidRPr="003314B7">
        <w:rPr>
          <w:rFonts w:asciiTheme="majorBidi" w:hAnsiTheme="majorBidi" w:cstheme="majorBidi"/>
          <w:lang w:val="en-US"/>
        </w:rPr>
        <w:t>D</w:t>
      </w:r>
      <w:r w:rsidR="005733A8">
        <w:rPr>
          <w:rFonts w:asciiTheme="majorBidi" w:hAnsiTheme="majorBidi" w:cstheme="majorBidi"/>
          <w:lang w:val="en-US"/>
        </w:rPr>
        <w:t xml:space="preserve">, with </w:t>
      </w:r>
      <w:r w:rsidRPr="003314B7">
        <w:rPr>
          <w:rFonts w:asciiTheme="majorBidi" w:hAnsiTheme="majorBidi" w:cstheme="majorBidi"/>
          <w:lang w:val="en-US"/>
        </w:rPr>
        <w:t>OR = 4.987 (p</w:t>
      </w:r>
      <w:r w:rsidR="00216217">
        <w:rPr>
          <w:rFonts w:asciiTheme="majorBidi" w:hAnsiTheme="majorBidi" w:cstheme="majorBidi"/>
          <w:lang w:val="en-US"/>
        </w:rPr>
        <w:t xml:space="preserve"> </w:t>
      </w:r>
      <w:r w:rsidR="000425C1">
        <w:rPr>
          <w:rFonts w:asciiTheme="majorBidi" w:hAnsiTheme="majorBidi" w:cstheme="majorBidi"/>
          <w:lang w:val="en-US"/>
        </w:rPr>
        <w:t>≤</w:t>
      </w:r>
      <w:r w:rsidR="005733A8">
        <w:rPr>
          <w:rFonts w:asciiTheme="majorBidi" w:hAnsiTheme="majorBidi" w:cstheme="majorBidi"/>
          <w:lang w:val="en-US"/>
        </w:rPr>
        <w:t xml:space="preserve"> </w:t>
      </w:r>
      <w:r w:rsidRPr="003314B7">
        <w:rPr>
          <w:rFonts w:asciiTheme="majorBidi" w:hAnsiTheme="majorBidi" w:cstheme="majorBidi"/>
          <w:lang w:val="en-US"/>
        </w:rPr>
        <w:t>0.0</w:t>
      </w:r>
      <w:r w:rsidR="000425C1">
        <w:rPr>
          <w:rFonts w:asciiTheme="majorBidi" w:hAnsiTheme="majorBidi" w:cstheme="majorBidi"/>
          <w:lang w:val="en-US"/>
        </w:rPr>
        <w:t>01</w:t>
      </w:r>
      <w:r w:rsidRPr="003314B7">
        <w:rPr>
          <w:rFonts w:asciiTheme="majorBidi" w:hAnsiTheme="majorBidi" w:cstheme="majorBidi"/>
          <w:lang w:val="en-US"/>
        </w:rPr>
        <w:t>)</w:t>
      </w:r>
      <w:r w:rsidR="005733A8">
        <w:rPr>
          <w:rFonts w:asciiTheme="majorBidi" w:hAnsiTheme="majorBidi" w:cstheme="majorBidi"/>
          <w:lang w:val="en-US"/>
        </w:rPr>
        <w:t xml:space="preserve"> (Table 3)</w:t>
      </w:r>
      <w:r w:rsidR="0075605A" w:rsidRPr="003314B7">
        <w:rPr>
          <w:rFonts w:asciiTheme="majorBidi" w:hAnsiTheme="majorBidi" w:cstheme="majorBidi"/>
          <w:lang w:val="en-US"/>
        </w:rPr>
        <w:t xml:space="preserve">. The same finding was </w:t>
      </w:r>
      <w:r w:rsidR="00476F22" w:rsidRPr="003314B7">
        <w:rPr>
          <w:rFonts w:asciiTheme="majorBidi" w:hAnsiTheme="majorBidi" w:cstheme="majorBidi"/>
          <w:lang w:val="en-US"/>
        </w:rPr>
        <w:t>reported in the meta-analysis of the Asian population, with a similar result (OR = 1.30, 95% CI 1.08, 1.56); however, no associations were observed</w:t>
      </w:r>
      <w:r w:rsidR="007C2B44" w:rsidRPr="003314B7">
        <w:rPr>
          <w:rFonts w:asciiTheme="majorBidi" w:hAnsiTheme="majorBidi" w:cstheme="majorBidi"/>
          <w:lang w:val="en-US"/>
        </w:rPr>
        <w:t xml:space="preserve"> in other genetic models </w:t>
      </w:r>
      <w:r w:rsidR="00E153AA"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{"citationItems":[{"id":"ITEM-1","itemData":{"DOI":"10.1111/crj.70002","ISSN":"1752699X","PMID":"39188047","abstract":"At present, the angiotensin-converting enzyme (ACE) I/D polymorphism was considered to be associated to the pathogenesis of chronic obstructive pulmonary disease (COPD). However, the association between it and the risk of COPD in different ethnic groups is still unclear. The purpose of this study is to conduct an updated meta-analysis of the association between them; collect literatures published before 10 February 2023 by searching PubMed, Embase, MEDLINE, CBM, CNKI, Wanfang, and VIP Chinese scientific databases; and display the analysis results by drawing forest plots. At the same time, publication bias, sensitivity analysis, and trial sequential analysis (TSA) were performed to evaluate the stability and reliability of the results. In the overall population, the result of the DD versus II model showed the association with the risk of COPD ([OR] = 1.30, 95% CI [1.08, 1.56]), and there were no associations in other genetic models (p &gt; 0.05). In Caucasians, the results of all genetic models showed no associations (p &gt; 0.05). In Asians, the results of D versus I, DD versus II, and DD versus II + ID models showed the associations with the risk of COPD (D vs. I: [OR] = 1.48, 95% CI [1.14, 1.93]; DD vs. II: [OR] = 2.04, 95% CI [1.53, 2.72]; DD vs. II + ID: [OR] = 2.19, 95% CI [1.45, 3.29]), while the results of ID versus II and DD + ID versus II models showed no associations (p &gt; 0.05). Therefore, the D allele and “DD” genotype variation of the ACE I/D gene polymorphism are associated with susceptibility to COPD in Asians but not in Caucasians.","author":[{"dropping-particle":"","family":"Wu","given":"Xiaozheng","non-dropping-particle":"","parse-names":false,"suffix":""},{"dropping-particle":"","family":"Li","given":"Wen","non-dropping-particle":"","parse-names":false,"suffix":""},{"dropping-particle":"","family":"Luo","given":"Zhenliang","non-dropping-particle":"","parse-names":false,"suffix":""},{"dropping-particle":"","family":"Chen","given":"Yunzhi","non-dropping-particle":"","parse-names":false,"suffix":""}],"container-title":"Clinical Respiratory Journal","id":"ITEM-1","issue":"8","issued":{"date-parts":[["2024"]]},"title":"Increased Frequency of Angiotensin-Converting Enzyme D Allele in Asian Patients With Chronic Obstructive Pulmonary Disease: An Updated Meta-Analysis","type":"article-journal","volume":"18"},"uris":["http://www.mendeley.com/documents/?uuid=5ee38f2c-021f-4c12-9a91-fcd5c0e6671f"]}],"mendeley":{"formattedCitation":"(7)","plainTextFormattedCitation":"(7)","previouslyFormattedCitation":"(7)"},"properties":{"noteIndex":0},"schema":"https://github.com/citation-style-language/schema/raw/master/csl-citation.json"}</w:instrText>
      </w:r>
      <w:r w:rsidR="00E153AA" w:rsidRPr="003314B7">
        <w:rPr>
          <w:rFonts w:asciiTheme="majorBidi" w:hAnsiTheme="majorBidi" w:cstheme="majorBidi"/>
          <w:lang w:val="en-US"/>
        </w:rPr>
        <w:fldChar w:fldCharType="separate"/>
      </w:r>
      <w:r w:rsidR="00E153AA" w:rsidRPr="003314B7">
        <w:rPr>
          <w:rFonts w:asciiTheme="majorBidi" w:hAnsiTheme="majorBidi" w:cstheme="majorBidi"/>
          <w:noProof/>
          <w:lang w:val="en-US"/>
        </w:rPr>
        <w:t>(7)</w:t>
      </w:r>
      <w:r w:rsidR="00E153AA" w:rsidRPr="003314B7">
        <w:rPr>
          <w:rFonts w:asciiTheme="majorBidi" w:hAnsiTheme="majorBidi" w:cstheme="majorBidi"/>
          <w:lang w:val="en-US"/>
        </w:rPr>
        <w:fldChar w:fldCharType="end"/>
      </w:r>
      <w:r w:rsidR="00216217">
        <w:rPr>
          <w:rFonts w:asciiTheme="majorBidi" w:hAnsiTheme="majorBidi" w:cstheme="majorBidi"/>
          <w:lang w:val="en-US"/>
        </w:rPr>
        <w:t>.</w:t>
      </w:r>
      <w:r w:rsidR="001375D2" w:rsidRPr="003314B7">
        <w:rPr>
          <w:rFonts w:asciiTheme="majorBidi" w:hAnsiTheme="majorBidi" w:cstheme="majorBidi"/>
          <w:lang w:val="en-US"/>
        </w:rPr>
        <w:t xml:space="preserve"> </w:t>
      </w:r>
      <w:r w:rsidR="00123C7D" w:rsidRPr="003314B7">
        <w:rPr>
          <w:rFonts w:asciiTheme="majorBidi" w:hAnsiTheme="majorBidi" w:cstheme="majorBidi"/>
          <w:lang w:val="en-US"/>
        </w:rPr>
        <w:t xml:space="preserve">In the case of patients </w:t>
      </w:r>
      <w:r w:rsidR="00700D05" w:rsidRPr="003314B7">
        <w:rPr>
          <w:rFonts w:asciiTheme="majorBidi" w:hAnsiTheme="majorBidi" w:cstheme="majorBidi"/>
          <w:lang w:val="en-US"/>
        </w:rPr>
        <w:t>having both COPD and HTN</w:t>
      </w:r>
      <w:r w:rsidR="00887A80" w:rsidRPr="003314B7">
        <w:rPr>
          <w:rFonts w:asciiTheme="majorBidi" w:hAnsiTheme="majorBidi" w:cstheme="majorBidi"/>
          <w:lang w:val="en-US"/>
        </w:rPr>
        <w:t xml:space="preserve">, as well as within </w:t>
      </w:r>
      <w:r w:rsidR="005862A2" w:rsidRPr="003314B7">
        <w:rPr>
          <w:rFonts w:asciiTheme="majorBidi" w:hAnsiTheme="majorBidi" w:cstheme="majorBidi"/>
          <w:lang w:val="en-US"/>
        </w:rPr>
        <w:t>the patients having only</w:t>
      </w:r>
      <w:r w:rsidR="00887A80" w:rsidRPr="003314B7">
        <w:rPr>
          <w:rFonts w:asciiTheme="majorBidi" w:hAnsiTheme="majorBidi" w:cstheme="majorBidi"/>
          <w:lang w:val="en-US"/>
        </w:rPr>
        <w:t xml:space="preserve"> HTN, the odds ratios (ORs) were 2.691 and 2.163, respectively, with p-values </w:t>
      </w:r>
      <w:r w:rsidR="005862A2" w:rsidRPr="003314B7">
        <w:rPr>
          <w:rFonts w:asciiTheme="majorBidi" w:hAnsiTheme="majorBidi" w:cstheme="majorBidi"/>
          <w:lang w:val="en-US"/>
        </w:rPr>
        <w:t>&lt;</w:t>
      </w:r>
      <w:r w:rsidR="00887A80" w:rsidRPr="003314B7">
        <w:rPr>
          <w:rFonts w:asciiTheme="majorBidi" w:hAnsiTheme="majorBidi" w:cstheme="majorBidi"/>
          <w:lang w:val="en-US"/>
        </w:rPr>
        <w:t xml:space="preserve"> 0.05</w:t>
      </w:r>
      <w:r w:rsidR="005733A8">
        <w:rPr>
          <w:rFonts w:asciiTheme="majorBidi" w:hAnsiTheme="majorBidi" w:cstheme="majorBidi"/>
          <w:lang w:val="en-US"/>
        </w:rPr>
        <w:t xml:space="preserve"> (Table 3)</w:t>
      </w:r>
      <w:r w:rsidR="00887A80" w:rsidRPr="003314B7">
        <w:rPr>
          <w:rFonts w:asciiTheme="majorBidi" w:hAnsiTheme="majorBidi" w:cstheme="majorBidi"/>
          <w:lang w:val="en-US"/>
        </w:rPr>
        <w:t xml:space="preserve">. A similar analysis of odds ratios across various studies indicated that the D allele and D/D genotype of the ACE gene are correlated with an elevated risk of hypertension </w:t>
      </w:r>
      <w:r w:rsidR="005862A2" w:rsidRPr="003314B7">
        <w:rPr>
          <w:rFonts w:asciiTheme="majorBidi" w:hAnsiTheme="majorBidi" w:cstheme="majorBidi"/>
          <w:lang w:val="en-US"/>
        </w:rPr>
        <w:t>and</w:t>
      </w:r>
      <w:r w:rsidR="00887A80" w:rsidRPr="003314B7">
        <w:rPr>
          <w:rFonts w:asciiTheme="majorBidi" w:hAnsiTheme="majorBidi" w:cstheme="majorBidi"/>
          <w:lang w:val="en-US"/>
        </w:rPr>
        <w:t xml:space="preserve"> COPD</w:t>
      </w:r>
      <w:r w:rsidR="00476F22" w:rsidRPr="003314B7">
        <w:rPr>
          <w:rFonts w:asciiTheme="majorBidi" w:hAnsiTheme="majorBidi" w:cstheme="majorBidi"/>
          <w:lang w:val="en-US"/>
        </w:rPr>
        <w:t xml:space="preserve"> </w:t>
      </w:r>
      <w:r w:rsidR="00887A80" w:rsidRPr="003314B7">
        <w:rPr>
          <w:rFonts w:asciiTheme="majorBidi" w:hAnsiTheme="majorBidi" w:cstheme="majorBidi"/>
          <w:lang w:val="en-US"/>
        </w:rPr>
        <w:t>(16,23-26)</w:t>
      </w:r>
      <w:r w:rsidR="00216217">
        <w:rPr>
          <w:rFonts w:asciiTheme="majorBidi" w:hAnsiTheme="majorBidi" w:cstheme="majorBidi"/>
          <w:lang w:val="en-US"/>
        </w:rPr>
        <w:t>.</w:t>
      </w:r>
      <w:r w:rsidR="00887A80" w:rsidRPr="003314B7">
        <w:rPr>
          <w:rFonts w:asciiTheme="majorBidi" w:hAnsiTheme="majorBidi" w:cstheme="majorBidi"/>
          <w:lang w:val="en-US"/>
        </w:rPr>
        <w:t xml:space="preserve"> The </w:t>
      </w:r>
      <w:r w:rsidR="00123144" w:rsidRPr="003314B7">
        <w:rPr>
          <w:rFonts w:asciiTheme="majorBidi" w:hAnsiTheme="majorBidi" w:cstheme="majorBidi"/>
          <w:lang w:val="en-US"/>
        </w:rPr>
        <w:t>correlation</w:t>
      </w:r>
      <w:r w:rsidR="00887A80" w:rsidRPr="003314B7">
        <w:rPr>
          <w:rFonts w:asciiTheme="majorBidi" w:hAnsiTheme="majorBidi" w:cstheme="majorBidi"/>
          <w:lang w:val="en-US"/>
        </w:rPr>
        <w:t xml:space="preserve"> between the </w:t>
      </w:r>
      <w:r w:rsidR="008734EC" w:rsidRPr="003314B7">
        <w:rPr>
          <w:rFonts w:asciiTheme="majorBidi" w:hAnsiTheme="majorBidi" w:cstheme="majorBidi"/>
          <w:lang w:val="en-US"/>
        </w:rPr>
        <w:t>D</w:t>
      </w:r>
      <w:r w:rsidR="00887A80" w:rsidRPr="003314B7">
        <w:rPr>
          <w:rFonts w:asciiTheme="majorBidi" w:hAnsiTheme="majorBidi" w:cstheme="majorBidi"/>
          <w:lang w:val="en-US"/>
        </w:rPr>
        <w:t xml:space="preserve">D </w:t>
      </w:r>
      <w:r w:rsidR="00123144" w:rsidRPr="003314B7">
        <w:rPr>
          <w:rFonts w:asciiTheme="majorBidi" w:hAnsiTheme="majorBidi" w:cstheme="majorBidi"/>
          <w:lang w:val="en-US"/>
        </w:rPr>
        <w:t xml:space="preserve">gene </w:t>
      </w:r>
      <w:r w:rsidR="00887A80" w:rsidRPr="003314B7">
        <w:rPr>
          <w:rFonts w:asciiTheme="majorBidi" w:hAnsiTheme="majorBidi" w:cstheme="majorBidi"/>
          <w:lang w:val="en-US"/>
        </w:rPr>
        <w:t xml:space="preserve">polymorphism of the ACE </w:t>
      </w:r>
      <w:r w:rsidR="00921158" w:rsidRPr="003314B7">
        <w:rPr>
          <w:rFonts w:asciiTheme="majorBidi" w:hAnsiTheme="majorBidi" w:cstheme="majorBidi"/>
          <w:lang w:val="en-US"/>
        </w:rPr>
        <w:t>ge</w:t>
      </w:r>
      <w:r w:rsidR="00476F22" w:rsidRPr="003314B7">
        <w:rPr>
          <w:rFonts w:asciiTheme="majorBidi" w:hAnsiTheme="majorBidi" w:cstheme="majorBidi"/>
          <w:lang w:val="en-US"/>
        </w:rPr>
        <w:t>n</w:t>
      </w:r>
      <w:r w:rsidR="00921158" w:rsidRPr="003314B7">
        <w:rPr>
          <w:rFonts w:asciiTheme="majorBidi" w:hAnsiTheme="majorBidi" w:cstheme="majorBidi"/>
          <w:lang w:val="en-US"/>
        </w:rPr>
        <w:t>e</w:t>
      </w:r>
      <w:r w:rsidR="00887A80" w:rsidRPr="003314B7">
        <w:rPr>
          <w:rFonts w:asciiTheme="majorBidi" w:hAnsiTheme="majorBidi" w:cstheme="majorBidi"/>
          <w:lang w:val="en-US"/>
        </w:rPr>
        <w:t xml:space="preserve"> and the risk for COPD is a current and extensively researched topic</w:t>
      </w:r>
      <w:r w:rsidR="002E41F7" w:rsidRPr="003314B7">
        <w:rPr>
          <w:rFonts w:asciiTheme="majorBidi" w:hAnsiTheme="majorBidi" w:cstheme="majorBidi"/>
          <w:lang w:val="en-US"/>
        </w:rPr>
        <w:t>;</w:t>
      </w:r>
      <w:r w:rsidR="00887A80" w:rsidRPr="003314B7">
        <w:rPr>
          <w:rFonts w:asciiTheme="majorBidi" w:hAnsiTheme="majorBidi" w:cstheme="majorBidi"/>
          <w:lang w:val="en-US"/>
        </w:rPr>
        <w:t xml:space="preserve"> however, the available data require further clarification and supplementation (6,10,12,13). ACE activity primarily occurs in lung tissue, with levels rising in chronic hypoxia</w:t>
      </w:r>
      <w:r w:rsidR="006712D6" w:rsidRPr="003314B7">
        <w:rPr>
          <w:rFonts w:asciiTheme="majorBidi" w:hAnsiTheme="majorBidi" w:cstheme="majorBidi"/>
          <w:lang w:val="en-US"/>
        </w:rPr>
        <w:t>,</w:t>
      </w:r>
      <w:r w:rsidR="00887A80" w:rsidRPr="003314B7">
        <w:rPr>
          <w:rFonts w:asciiTheme="majorBidi" w:hAnsiTheme="majorBidi" w:cstheme="majorBidi"/>
          <w:lang w:val="en-US"/>
        </w:rPr>
        <w:t xml:space="preserve"> often seen in COPD</w:t>
      </w:r>
      <w:r w:rsidR="00216217">
        <w:rPr>
          <w:rFonts w:asciiTheme="majorBidi" w:hAnsiTheme="majorBidi" w:cstheme="majorBidi"/>
          <w:lang w:val="en-US"/>
        </w:rPr>
        <w:t xml:space="preserve"> </w:t>
      </w:r>
      <w:r w:rsidR="001D5751" w:rsidRPr="003314B7">
        <w:rPr>
          <w:rFonts w:asciiTheme="majorBidi" w:hAnsiTheme="majorBidi" w:cstheme="majorBidi"/>
          <w:lang w:val="en-US"/>
        </w:rPr>
        <w:fldChar w:fldCharType="begin" w:fldLock="1"/>
      </w:r>
      <w:r w:rsidR="001D5751" w:rsidRPr="003314B7">
        <w:rPr>
          <w:rFonts w:asciiTheme="majorBidi" w:hAnsiTheme="majorBidi" w:cstheme="majorBidi"/>
          <w:lang w:val="en-US"/>
        </w:rPr>
        <w:instrText>ADDIN CSL_CITATION {"citationItems":[{"id":"ITEM-1","itemData":{"DOI":"10.1371/journal.pone.0221248","ISSN":"19326203","PMID":"31430320","abstract":"Background Systemic arterial hypertension (SAH) is a multifactorial condition that already affects one third of the worldwide population. The identification of candidate genes for hypertension is a challenge for the next years. Nevertheless, the small contribution of each individual genetic factor to the disease brings the necessity of evaluate genes in an integrative manner and taking into consideration the physiological interaction of functions. Angiotensin I–converting enzymes, ACE and ACE2, are key regulators of blood pressure that have counterbalance roles by acting on vasoactive peptides from Renin-Angiotensin-Aldosterone System (RAAS). Insertion/deletion (I/D) polymorphism of ACE gene and single nucleotide polymorphism G8790A of ACE2 gene have been associated with susceptibility to SAH, but the literature is controversial. We proposed to evaluate these two polymorphisms jointly exploring the combined effects of ACE and ACE2 genotypes on SAH susceptibility, an approach that have not been done yet for ACE and ACE2 polymorphisms. Methods and findings This genetic association study included 117 hypertensive (mean age 59.7 years) patients and 123 normotensive and diabetes-free controls (mean age 57.5 years). ACE and ACE2 polymorphisms were genotyped by SYBR Green real-time PCR and RFLP-PCR, respectively. Crude and adjusted odds ratio (OR) values were calculated to estimate the susceptibility to SAH development. It was obtained homogeneity regarding distribution by sex, age range, smoking, alcohol consumption and body mass index (BMI) between case and control groups. No-association was verified for each gene individually, but the combination of ACE and ACE2 polymorphisms on female gender revealed a significative association for DD/G_ carriers who had a 3-fold increased risk to SAH development (p = 0.03), with a stronger susceptibility on DD/GG carriers (7-fold increased risk, p = 0.01). The D allele of ACE showed association with altered levels of lipid profile variables on case group (VLDL-cholesterol, p = 0.01) and DD genotype in all individuals analysis (triglycerides, p = 0.01 and VLDL-cholesterol, p = 0.01). Conclusion These findings indicate that the combination of ACE and ACE2 polymorphisms effects may play a role in SAH predisposition been the DD/G_ genotype the susceptibility profile. This result allowed us to raise the hypothesis that an increased activity of ACE (prohypertensive effects) in conjunction with reduced ACE2 activity (antihyperte…","author":[{"dropping-particle":"","family":"Pinheiro","given":"Denise S.","non-dropping-particle":"","parse-names":false,"suffix":""},{"dropping-particle":"","family":"Santos","given":"Rodrigo S.","non-dropping-particle":"","parse-names":false,"suffix":""},{"dropping-particle":"","family":"Veiga Jardim","given":"Paulo C.B.","non-dropping-particle":"","parse-names":false,"suffix":""},{"dropping-particle":"","family":"Silva","given":"Elisangela G.","non-dropping-particle":"","parse-names":false,"suffix":""},{"dropping-particle":"","family":"Reis","given":"Angela A.S.","non-dropping-particle":"","parse-names":false,"suffix":""},{"dropping-particle":"","family":"Pedrino","given":"Gustavo R.","non-dropping-particle":"","parse-names":false,"suffix":""},{"dropping-particle":"","family":"Ulhoa","given":"Cirano J.","non-dropping-particle":"","parse-names":false,"suffix":""}],"container-title":"PLoS ONE","id":"ITEM-1","issue":"8","issued":{"date-parts":[["2019","8","1"]]},"publisher":"Public Library of Science","title":"The combination of ACE I/D and ACE2 G8790A polymorphisms revels susceptibility to hypertension: A genetic association study in Brazilian patients","type":"article-journal","volume":"14"},"uris":["http://www.mendeley.com/documents/?uuid=f53ad1ab-e2ff-37ee-8add-b0f11d2912c1"]},{"id":"ITEM-2","itemData":{"DOI":"10.3390/ijerph18073443","ISSN":"16604601","PMID":"33810312","abstract":"There is controversy about the relationship between ACE I/D polymorphism and health. Seventy-four healthy adults (n = 28 women; 22.5 ± 4.2 years) participated in this cross-sectional study aimed at determining the influence of ACE I/D polymorphism, ascertained by polymerase chain reaction, on cardiometabolic risk (i.e., waist circumference, body fat, blood pressure (BP), glucose, triglycerides, and inflammatory markers), maximal fat oxidation (MFO), cardiorespira-tory fitness (maximal oxygen uptake), physical activity and diet. Our results showed differences by ACE I/D polymorphism in systolic BP (DD: 116.4 ± 11.8 mmHg; ID: 116.7 ± 6.3 mmHg; II: 109.4 ± 12.3 mmHg, p = 0.035) and body fat (DD: 27.3 ± 10.8%; ID: 22.6 ± 9.7%; II: 19.3 ± 7.1%, p = 0.030). Interestingly, a genotype*sex interaction in relativized MFO by lean mass (p = 0.048) was found. The DD polymorphism had higher MFO values than ID/II polymorphisms in men (8.4 ± 3.0 vs. 6.5 ± 2.9 mg/kg/min), while the ID/II polymorphisms showed higher R-MFO values than DD polymorphism in women (6.6 ± 2.3 vs. 7.6 ± 2.6 mg/kg/min). In conclusion, ACE I/D polymor-phism is apparently associated with adiposity and BP, where a protective effect can be attributed to the II genotype, but not with cardiorespiratory fitness, diet and physical activity. Moreover, our study highlighted that there is a sexual dimorphism in the influence of ACE I/D gene polymorphism on MFO.","author":[{"dropping-particle":"","family":"Montes-De-oca-garcía","given":"Adrián","non-dropping-particle":"","parse-names":false,"suffix":""},{"dropping-particle":"","family":"Perez-Bey","given":"Alejandro","non-dropping-particle":"","parse-names":false,"suffix":""},{"dropping-particle":"","family":"Velázquez-Díaz","given":"Daniel","non-dropping-particle":"","parse-names":false,"suffix":""},{"dropping-particle":"","family":"Corral-Pérez","given":"Juan","non-dropping-particle":"","parse-names":false,"suffix":""},{"dropping-particle":"","family":"Opazo-Díaz","given":"Edgardo","non-dropping-particle":"","parse-names":false,"suffix":""},{"dropping-particle":"","family":"Rebollo-Ramos","given":"María","non-dropping-particle":"","parse-names":false,"suffix":""},{"dropping-particle":"","family":"Gómez-Gallego","given":"Félix","non-dropping-particle":"","parse-names":false,"suffix":""},{"dropping-particle":"","family":"Cuenca-García","given":"Magdalena","non-dropping-particle":"","parse-names":false,"suffix":""},{"dropping-particle":"","family":"Casals","given":"Cristina","non-dropping-particle":"","parse-names":false,"suffix":""},{"dropping-particle":"","family":"Ponce-González","given":"Jesús G.","non-dropping-particle":"","parse-names":false,"suffix":""}],"container-title":"International Journal of Environmental Research and Public Health","id":"ITEM-2","issue":"7","issued":{"date-parts":[["2021"]]},"title":"Influence of ace gene I/D polymorphism on cardiometabolic risk, maximal fat oxidation, cardiorespiratory fitness, diet and physical activity in young adults","type":"article-journal","volume":"18"},"uris":["http://www.mendeley.com/documents/?uuid=6bffba35-c8d1-4079-929e-c98afc6ca797"]},{"id":"ITEM-3","itemData":{"DOI":"10.1155/2023/1159973","ISSN":"17528976","PMID":"37091860","abstract":"Objective. Essential hypertension (EH) is a common cardiovascular disease that endangers human health. Its pathogenesis is complex and has not been fully elucidated. We explore the association between EH and interactions among polymorphisms of the angiotensin converting enzyme (ACE) gene in the Hefei region, Anhui, China. Methods. A total of 500 participants (400 hypertensive and 100 normotensive) were included in this study. The polymorphisms were detected via improved multiple ligase detection reaction (iMLDR). To improve the accuracy of prediction, multifactor dimensionality reduction (MDR) was used to analyze the overall effect of interactions among seven loci on the incidence of EH. Results. The frequencies of polymorphisms in the ACE genes rs12709426, rs4291, rs4309, rs4331, rs4343, rs4459609, and rs4461142 in the EH group were not statistically significantly different from those in the control group. We also found that the single nucleotide polymorphism (SNP) rs12709426 only had a homozygous AA genotype and no polymorphisms. There were no differences in the frequency of genetic polymorphisms between the EH and control groups. The best model explaining the EH group was the combined effect of ACE genes rs4291, rs4309, and rs4461142. Conclusion. There is an interaction effect among ACE gene loci in EH patients in Hefei region, Anhui, China. Also, the ACE gene SNP rs12709426 only has a homozygous AA genotype and does not show an association with EH.","author":[{"dropping-particle":"","family":"Wang","given":"Li","non-dropping-particle":"","parse-names":false,"suffix":""},{"dropping-particle":"","family":"Song","given":"Ting Ting","non-dropping-particle":"","parse-names":false,"suffix":""},{"dropping-particle":"","family":"Dong","given":"Chang Wu","non-dropping-particle":"","parse-names":false,"suffix":""}],"container-title":"JRAAS - Journal of the Renin-Angiotensin-Aldosterone System","id":"ITEM-3","issued":{"date-parts":[["2023"]]},"title":"Association between Interactions among ACE Gene Polymorphisms and Essential Hypertension in Patients in the Hefei Region, Anhui, China","type":"article-journal","volume":"2023"},"uris":["http://www.mendeley.com/documents/?uuid=d6feb948-5db0-4fbb-a872-b7f7b0d52ff5"]},{"id":"ITEM-4","itemData":{"DOI":"10.1016/j.cpcardiol.2022.101162","ISSN":"15356280","PMID":"35245599","abstract":"Cardiovascular disease is the greatest health care burden and one of the most common causes of death worldwide. Less is known about the genetic factors that are responsible for predisposition to cardiovascular disease thus; the molecular and genetic mechanisms underlying cardiovascular diseases remain obscure. One important regulator of blood pressure homeostasis is the renin–angiotensin system. The protease renin cleaves angiotensinogen into the inactive decameric peptide angiotensin I (Ang I). Angiotensin-converting enzyme (ACE) catalyzes the cleavage of the Ang I into the active octomer angiotensin II (Ang II). In humans, can ACE polymorphism has been associated with determinants of renal and cardiovascular function and pharmacological inhibition of ACE and Ang II receptors are effective in lowering blood pressure and preventing kidney disease. In addition, inhibition of ACE and Ang II receptors has beneficial effects in heart failure. A homologue of ACE, termed ACE2, has been identified; it is predominantly expressed in the vascular endothelial cells of the kidney and heart. Unlike ACE, ACE2 functions as a carboxypeptidase, cleaving a single residue from AngI, generating Ang1-9, and a single residue from AngII to generate Ang1-7. Nevertheless, the in vivo role of ACE2 in the cardiovascular system and the renin–angiotensin system is not known.","author":[{"dropping-particle":"","family":"Bhushan","given":"Sandeep","non-dropping-particle":"","parse-names":false,"suffix":""},{"dropping-particle":"","family":"Xiao","given":"Zongwei","non-dropping-particle":"","parse-names":false,"suffix":""},{"dropping-particle":"","family":"Gao","given":"Ke","non-dropping-particle":"","parse-names":false,"suffix":""},{"dropping-particle":"","family":"Mao","given":"Long","non-dropping-particle":"","parse-names":false,"suffix":""},{"dropping-particle":"","family":"Chen","given":"Jian","non-dropping-particle":"","parse-names":false,"suffix":""},{"dropping-particle":"","family":"Ping","given":"Wu","non-dropping-particle":"","parse-names":false,"suffix":""},{"dropping-particle":"","family":"Hong","given":"Wang","non-dropping-particle":"","parse-names":false,"suffix":""},{"dropping-particle":"","family":"Zhang","given":"Zhengwei","non-dropping-particle":"","parse-names":false,"suffix":""}],"container-title":"Current Problems in Cardiology","id":"ITEM-4","issue":"8","issued":{"date-parts":[["2023"]]},"title":"Role and Interaction Between ACE1, ACE2 and Their Related Genes in Cardiovascular Disorders","type":"article-journal","volume":"48"},"uris":["http://www.mendeley.com/documents/?uuid=8c904eb3-7fae-4f52-82ae-0f26c64073dc"]}],"mendeley":{"formattedCitation":"(27–30)","plainTextFormattedCitation":"(27–30)"},"properties":{"noteIndex":0},"schema":"https://github.com/citation-style-language/schema/raw/master/csl-citation.json"}</w:instrText>
      </w:r>
      <w:r w:rsidR="001D5751" w:rsidRPr="003314B7">
        <w:rPr>
          <w:rFonts w:asciiTheme="majorBidi" w:hAnsiTheme="majorBidi" w:cstheme="majorBidi"/>
          <w:lang w:val="en-US"/>
        </w:rPr>
        <w:fldChar w:fldCharType="separate"/>
      </w:r>
      <w:r w:rsidR="001D5751" w:rsidRPr="003314B7">
        <w:rPr>
          <w:rFonts w:asciiTheme="majorBidi" w:hAnsiTheme="majorBidi" w:cstheme="majorBidi"/>
          <w:noProof/>
          <w:lang w:val="en-US"/>
        </w:rPr>
        <w:t>(27–30)</w:t>
      </w:r>
      <w:r w:rsidR="001D5751" w:rsidRPr="003314B7">
        <w:rPr>
          <w:rFonts w:asciiTheme="majorBidi" w:hAnsiTheme="majorBidi" w:cstheme="majorBidi"/>
          <w:lang w:val="en-US"/>
        </w:rPr>
        <w:fldChar w:fldCharType="end"/>
      </w:r>
      <w:r w:rsidR="00216217">
        <w:rPr>
          <w:rFonts w:asciiTheme="majorBidi" w:hAnsiTheme="majorBidi" w:cstheme="majorBidi"/>
          <w:lang w:val="en-US"/>
        </w:rPr>
        <w:t xml:space="preserve">. </w:t>
      </w:r>
      <w:r w:rsidR="00887A80" w:rsidRPr="003314B7">
        <w:rPr>
          <w:rFonts w:asciiTheme="majorBidi" w:hAnsiTheme="majorBidi" w:cstheme="majorBidi"/>
          <w:lang w:val="en-US"/>
        </w:rPr>
        <w:t>This suggests that pulmonary ACE could contribute to COPD-related pulmonary hypertension. Kanazawa et al. demonstrate</w:t>
      </w:r>
      <w:r w:rsidR="00A106AB">
        <w:rPr>
          <w:rFonts w:asciiTheme="majorBidi" w:hAnsiTheme="majorBidi" w:cstheme="majorBidi"/>
          <w:lang w:val="en-US"/>
        </w:rPr>
        <w:t>d</w:t>
      </w:r>
      <w:r w:rsidR="00887A80" w:rsidRPr="003314B7">
        <w:rPr>
          <w:rFonts w:asciiTheme="majorBidi" w:hAnsiTheme="majorBidi" w:cstheme="majorBidi"/>
          <w:lang w:val="en-US"/>
        </w:rPr>
        <w:t xml:space="preserve"> a connection between the insertion/deletion (ID) polymorphism in the ACE gene and elevated plasma ACE levels</w:t>
      </w:r>
      <w:r w:rsidR="00216217">
        <w:rPr>
          <w:rFonts w:asciiTheme="majorBidi" w:hAnsiTheme="majorBidi" w:cstheme="majorBidi"/>
          <w:lang w:val="en-US"/>
        </w:rPr>
        <w:t xml:space="preserve"> </w:t>
      </w:r>
      <w:r w:rsidR="00544C7D" w:rsidRPr="003314B7">
        <w:rPr>
          <w:rFonts w:asciiTheme="majorBidi" w:hAnsiTheme="majorBidi" w:cstheme="majorBidi"/>
          <w:lang w:val="en-US"/>
        </w:rPr>
        <w:t>(31)</w:t>
      </w:r>
      <w:r w:rsidR="00216217">
        <w:rPr>
          <w:rFonts w:asciiTheme="majorBidi" w:hAnsiTheme="majorBidi" w:cstheme="majorBidi"/>
          <w:lang w:val="en-US"/>
        </w:rPr>
        <w:t>,</w:t>
      </w:r>
      <w:r w:rsidR="00887A80" w:rsidRPr="003314B7">
        <w:rPr>
          <w:rFonts w:asciiTheme="majorBidi" w:hAnsiTheme="majorBidi" w:cstheme="majorBidi"/>
          <w:lang w:val="en-US"/>
        </w:rPr>
        <w:t xml:space="preserve"> </w:t>
      </w:r>
      <w:r w:rsidR="00E672BD" w:rsidRPr="003314B7">
        <w:rPr>
          <w:rFonts w:asciiTheme="majorBidi" w:hAnsiTheme="majorBidi" w:cstheme="majorBidi"/>
          <w:lang w:val="en-US"/>
        </w:rPr>
        <w:t xml:space="preserve">aother studies </w:t>
      </w:r>
      <w:r w:rsidR="00887A80" w:rsidRPr="003314B7">
        <w:rPr>
          <w:rFonts w:asciiTheme="majorBidi" w:hAnsiTheme="majorBidi" w:cstheme="majorBidi"/>
          <w:lang w:val="en-US"/>
        </w:rPr>
        <w:t>investigat</w:t>
      </w:r>
      <w:r w:rsidR="00E672BD" w:rsidRPr="003314B7">
        <w:rPr>
          <w:rFonts w:asciiTheme="majorBidi" w:hAnsiTheme="majorBidi" w:cstheme="majorBidi"/>
          <w:lang w:val="en-US"/>
        </w:rPr>
        <w:t>ed</w:t>
      </w:r>
      <w:r w:rsidR="00887A80" w:rsidRPr="003314B7">
        <w:rPr>
          <w:rFonts w:asciiTheme="majorBidi" w:hAnsiTheme="majorBidi" w:cstheme="majorBidi"/>
          <w:lang w:val="en-US"/>
        </w:rPr>
        <w:t xml:space="preserve"> the relationship between the ACE gene insertion/deletion polymorphism and the likelihood of developing COPD</w:t>
      </w:r>
      <w:r w:rsidR="005733A8">
        <w:rPr>
          <w:rFonts w:asciiTheme="majorBidi" w:hAnsiTheme="majorBidi" w:cstheme="majorBidi"/>
          <w:lang w:val="en-US"/>
        </w:rPr>
        <w:t>,</w:t>
      </w:r>
      <w:r w:rsidR="00887A80" w:rsidRPr="003314B7">
        <w:rPr>
          <w:rFonts w:asciiTheme="majorBidi" w:hAnsiTheme="majorBidi" w:cstheme="majorBidi"/>
          <w:lang w:val="en-US"/>
        </w:rPr>
        <w:t xml:space="preserve"> suggest</w:t>
      </w:r>
      <w:r w:rsidR="00E672BD" w:rsidRPr="003314B7">
        <w:rPr>
          <w:rFonts w:asciiTheme="majorBidi" w:hAnsiTheme="majorBidi" w:cstheme="majorBidi"/>
          <w:lang w:val="en-US"/>
        </w:rPr>
        <w:t xml:space="preserve">ing </w:t>
      </w:r>
      <w:r w:rsidR="00887A80" w:rsidRPr="003314B7">
        <w:rPr>
          <w:rFonts w:asciiTheme="majorBidi" w:hAnsiTheme="majorBidi" w:cstheme="majorBidi"/>
          <w:lang w:val="en-US"/>
        </w:rPr>
        <w:t>that there is no significant link between the I/D polymorphism and the onset of COPD</w:t>
      </w:r>
      <w:r w:rsidR="005733A8">
        <w:rPr>
          <w:rFonts w:asciiTheme="majorBidi" w:hAnsiTheme="majorBidi" w:cstheme="majorBidi"/>
          <w:lang w:val="en-US"/>
        </w:rPr>
        <w:t xml:space="preserve"> </w:t>
      </w:r>
      <w:r w:rsidR="00544C7D" w:rsidRPr="003314B7">
        <w:rPr>
          <w:rFonts w:asciiTheme="majorBidi" w:hAnsiTheme="majorBidi" w:cstheme="majorBidi"/>
          <w:lang w:val="en-US"/>
        </w:rPr>
        <w:t>(19-22,27)</w:t>
      </w:r>
      <w:r w:rsidR="00887A80" w:rsidRPr="003314B7">
        <w:rPr>
          <w:rFonts w:asciiTheme="majorBidi" w:hAnsiTheme="majorBidi" w:cstheme="majorBidi"/>
          <w:lang w:val="en-US"/>
        </w:rPr>
        <w:t xml:space="preserve">. Importantly, those with II and ID genotypes showed considerably reduced circulating ACE levels in comparison to individuals carrying the DD </w:t>
      </w:r>
      <w:r w:rsidR="00E24E83" w:rsidRPr="003314B7">
        <w:rPr>
          <w:rFonts w:asciiTheme="majorBidi" w:hAnsiTheme="majorBidi" w:cstheme="majorBidi"/>
          <w:lang w:val="en-US"/>
        </w:rPr>
        <w:t>genotype</w:t>
      </w:r>
      <w:r w:rsidR="00887A80" w:rsidRPr="003314B7">
        <w:rPr>
          <w:rFonts w:asciiTheme="majorBidi" w:hAnsiTheme="majorBidi" w:cstheme="majorBidi"/>
          <w:lang w:val="en-US"/>
        </w:rPr>
        <w:t xml:space="preserve"> (23-25). In this study, a significant association was found between the D allele </w:t>
      </w:r>
      <w:r w:rsidR="00E24E83" w:rsidRPr="003314B7">
        <w:rPr>
          <w:rFonts w:asciiTheme="majorBidi" w:hAnsiTheme="majorBidi" w:cstheme="majorBidi"/>
          <w:lang w:val="en-US"/>
        </w:rPr>
        <w:t xml:space="preserve">and </w:t>
      </w:r>
      <w:r w:rsidR="00E85A01">
        <w:rPr>
          <w:rFonts w:asciiTheme="majorBidi" w:hAnsiTheme="majorBidi" w:cstheme="majorBidi"/>
          <w:lang w:val="en-US"/>
        </w:rPr>
        <w:t>patients</w:t>
      </w:r>
      <w:r w:rsidR="00E85A01" w:rsidRPr="003314B7">
        <w:rPr>
          <w:rFonts w:asciiTheme="majorBidi" w:hAnsiTheme="majorBidi" w:cstheme="majorBidi"/>
          <w:lang w:val="en-US"/>
        </w:rPr>
        <w:t xml:space="preserve"> </w:t>
      </w:r>
      <w:r w:rsidR="00E85A01">
        <w:rPr>
          <w:rFonts w:asciiTheme="majorBidi" w:hAnsiTheme="majorBidi" w:cstheme="majorBidi"/>
          <w:lang w:val="en-US"/>
        </w:rPr>
        <w:t>with COPD, as well as those with both COPD and HTN, or those with</w:t>
      </w:r>
      <w:r w:rsidR="00EE1748" w:rsidRPr="003314B7">
        <w:rPr>
          <w:rFonts w:asciiTheme="majorBidi" w:hAnsiTheme="majorBidi" w:cstheme="majorBidi"/>
          <w:lang w:val="en-US"/>
        </w:rPr>
        <w:t xml:space="preserve"> only HTN</w:t>
      </w:r>
      <w:r w:rsidR="00887A80" w:rsidRPr="003314B7">
        <w:rPr>
          <w:rFonts w:asciiTheme="majorBidi" w:hAnsiTheme="majorBidi" w:cstheme="majorBidi"/>
          <w:lang w:val="en-US"/>
        </w:rPr>
        <w:t xml:space="preserve">. The likely connection between the D allele of the ACE gene </w:t>
      </w:r>
      <w:r w:rsidR="005F70A5" w:rsidRPr="003314B7">
        <w:rPr>
          <w:rFonts w:asciiTheme="majorBidi" w:hAnsiTheme="majorBidi" w:cstheme="majorBidi"/>
          <w:lang w:val="en-US"/>
        </w:rPr>
        <w:t>and</w:t>
      </w:r>
      <w:r w:rsidR="00887A80" w:rsidRPr="003314B7">
        <w:rPr>
          <w:rFonts w:asciiTheme="majorBidi" w:hAnsiTheme="majorBidi" w:cstheme="majorBidi"/>
          <w:lang w:val="en-US"/>
        </w:rPr>
        <w:t xml:space="preserve"> the incidence of COPD and HTN is due to the fact </w:t>
      </w:r>
      <w:r w:rsidR="00887A80" w:rsidRPr="003314B7">
        <w:rPr>
          <w:rFonts w:asciiTheme="majorBidi" w:hAnsiTheme="majorBidi" w:cstheme="majorBidi"/>
          <w:lang w:val="en-US"/>
        </w:rPr>
        <w:lastRenderedPageBreak/>
        <w:t>that</w:t>
      </w:r>
      <w:r w:rsidR="00090704" w:rsidRPr="003314B7">
        <w:rPr>
          <w:rFonts w:asciiTheme="majorBidi" w:hAnsiTheme="majorBidi" w:cstheme="majorBidi"/>
          <w:lang w:val="en-US"/>
        </w:rPr>
        <w:t xml:space="preserve"> </w:t>
      </w:r>
      <w:r w:rsidR="00F30A5C" w:rsidRPr="003314B7">
        <w:rPr>
          <w:rFonts w:asciiTheme="majorBidi" w:hAnsiTheme="majorBidi" w:cstheme="majorBidi"/>
          <w:lang w:val="en-US"/>
        </w:rPr>
        <w:t xml:space="preserve">the D allele activates </w:t>
      </w:r>
      <w:r w:rsidR="004D6099" w:rsidRPr="003314B7">
        <w:rPr>
          <w:rFonts w:asciiTheme="majorBidi" w:hAnsiTheme="majorBidi" w:cstheme="majorBidi"/>
          <w:lang w:val="en-US"/>
        </w:rPr>
        <w:t>ACE production, which leads to the activation of angiotensin II, along with altered endothelial responses, increased capillary permeability, and degradation of</w:t>
      </w:r>
      <w:r w:rsidR="00887A80" w:rsidRPr="003314B7">
        <w:rPr>
          <w:rFonts w:asciiTheme="majorBidi" w:hAnsiTheme="majorBidi" w:cstheme="majorBidi"/>
          <w:lang w:val="en-US"/>
        </w:rPr>
        <w:t xml:space="preserve"> bradykinin. </w:t>
      </w:r>
      <w:r w:rsidR="008B5EBB" w:rsidRPr="003314B7">
        <w:rPr>
          <w:rFonts w:asciiTheme="majorBidi" w:hAnsiTheme="majorBidi" w:cstheme="majorBidi"/>
          <w:lang w:val="en-US"/>
        </w:rPr>
        <w:t xml:space="preserve">As it has been concluded </w:t>
      </w:r>
      <w:r w:rsidR="004834BA" w:rsidRPr="003314B7">
        <w:rPr>
          <w:rFonts w:asciiTheme="majorBidi" w:hAnsiTheme="majorBidi" w:cstheme="majorBidi"/>
          <w:lang w:val="en-US"/>
        </w:rPr>
        <w:t>that the D allele is associated with higher ACE levels in</w:t>
      </w:r>
      <w:r w:rsidR="00DC6044" w:rsidRPr="003314B7">
        <w:rPr>
          <w:rFonts w:asciiTheme="majorBidi" w:hAnsiTheme="majorBidi" w:cstheme="majorBidi"/>
          <w:lang w:val="en-US"/>
        </w:rPr>
        <w:t xml:space="preserve"> </w:t>
      </w:r>
      <w:r w:rsidR="0062492A" w:rsidRPr="003314B7">
        <w:rPr>
          <w:rFonts w:asciiTheme="majorBidi" w:hAnsiTheme="majorBidi" w:cstheme="majorBidi"/>
          <w:lang w:val="en-US"/>
        </w:rPr>
        <w:t xml:space="preserve">plasma, as </w:t>
      </w:r>
      <w:r w:rsidR="009E36CD" w:rsidRPr="003314B7">
        <w:rPr>
          <w:rFonts w:asciiTheme="majorBidi" w:hAnsiTheme="majorBidi" w:cstheme="majorBidi"/>
          <w:lang w:val="en-US"/>
        </w:rPr>
        <w:t>reported</w:t>
      </w:r>
      <w:r w:rsidR="00C8104C" w:rsidRPr="003314B7">
        <w:rPr>
          <w:rFonts w:asciiTheme="majorBidi" w:hAnsiTheme="majorBidi" w:cstheme="majorBidi"/>
          <w:lang w:val="en-US"/>
        </w:rPr>
        <w:t xml:space="preserve"> in previous studies</w:t>
      </w:r>
      <w:r w:rsidR="00A37B99">
        <w:rPr>
          <w:rFonts w:asciiTheme="majorBidi" w:hAnsiTheme="majorBidi" w:cstheme="majorBidi"/>
          <w:lang w:val="en-US"/>
        </w:rPr>
        <w:t>.</w:t>
      </w:r>
      <w:r w:rsidR="004834BA" w:rsidRPr="003314B7">
        <w:rPr>
          <w:rFonts w:asciiTheme="majorBidi" w:hAnsiTheme="majorBidi" w:cstheme="majorBidi"/>
          <w:lang w:val="en-US"/>
        </w:rPr>
        <w:t xml:space="preserve"> </w:t>
      </w:r>
      <w:r w:rsidR="00A37B99">
        <w:rPr>
          <w:rFonts w:asciiTheme="majorBidi" w:hAnsiTheme="majorBidi" w:cstheme="majorBidi"/>
          <w:lang w:val="en-US"/>
        </w:rPr>
        <w:t>A</w:t>
      </w:r>
      <w:r w:rsidR="0062492A" w:rsidRPr="003314B7">
        <w:rPr>
          <w:rFonts w:asciiTheme="majorBidi" w:hAnsiTheme="majorBidi" w:cstheme="majorBidi"/>
          <w:lang w:val="en-US"/>
        </w:rPr>
        <w:t xml:space="preserve">nother study suggested that </w:t>
      </w:r>
      <w:r w:rsidR="00256232" w:rsidRPr="003314B7">
        <w:rPr>
          <w:rFonts w:asciiTheme="majorBidi" w:hAnsiTheme="majorBidi" w:cstheme="majorBidi"/>
          <w:lang w:val="en-US"/>
        </w:rPr>
        <w:t xml:space="preserve">a protective </w:t>
      </w:r>
      <w:r w:rsidR="00532971" w:rsidRPr="003314B7">
        <w:rPr>
          <w:rFonts w:asciiTheme="majorBidi" w:hAnsiTheme="majorBidi" w:cstheme="majorBidi"/>
          <w:lang w:val="en-US"/>
        </w:rPr>
        <w:t xml:space="preserve">I allele may act </w:t>
      </w:r>
      <w:r w:rsidR="00256232" w:rsidRPr="003314B7">
        <w:rPr>
          <w:rFonts w:asciiTheme="majorBidi" w:hAnsiTheme="majorBidi" w:cstheme="majorBidi"/>
          <w:lang w:val="en-US"/>
        </w:rPr>
        <w:t>against comorbidities in patients with HTN and COPD</w:t>
      </w:r>
      <w:r w:rsidR="005733A8">
        <w:rPr>
          <w:rFonts w:asciiTheme="majorBidi" w:hAnsiTheme="majorBidi" w:cstheme="majorBidi"/>
          <w:lang w:val="en-US"/>
        </w:rPr>
        <w:t xml:space="preserve"> </w:t>
      </w:r>
      <w:r w:rsidR="00382513" w:rsidRPr="003314B7">
        <w:rPr>
          <w:rFonts w:asciiTheme="majorBidi" w:hAnsiTheme="majorBidi" w:cstheme="majorBidi"/>
          <w:lang w:val="en-US"/>
        </w:rPr>
        <w:fldChar w:fldCharType="begin" w:fldLock="1"/>
      </w:r>
      <w:r w:rsidR="00382513" w:rsidRPr="003314B7">
        <w:rPr>
          <w:rFonts w:asciiTheme="majorBidi" w:hAnsiTheme="majorBidi" w:cstheme="majorBidi"/>
          <w:lang w:val="en-US"/>
        </w:rPr>
        <w:instrText>ADDIN CSL_CITATION {"citationItems":[{"id":"ITEM-1","itemData":{"DOI":"10.25122/jml-2019-0108","ISSN":"18443117","PMID":"32025262","abstract":"There is an increasing number of studies suggesting the role of genetic factors in the development and progression of chronic obstructive pulmonary disease and hypertension. Therefore, our study aimed to establish the role of ACE and AGT gene polymorphisms in the mechanisms behind the development of oxidative stress in patients with concomitant chronic obstructive pulmonary disease and hypertension. The study group consisted of 96 patients: Group 1 (individuals with a chronic obstructive pulmonary disease), Group 2 (individuals with arterial hypertension), Group 3 (individuals with a chronic obstructive pulmonary disease and arterial hypertension). The control group consisted of 20 healthy subjects. ACE and AGT gene polymorphisms were determined by polymerase chain reaction amplification. Detection of intracellular reactive oxygen species levels was performed by EPICS XL cytometer (Beckman Coulter, USA) with dichlorodihydrofluorescein diacetate and dihydroethidium. Serum levels of 8-isoprostane were assayed with ELISA, Cayman Chemicals (USA). No significant correlations between ACE and AGT gene polymorphisms and parameters of oxidative stress in a setting of comorbid chronic obstructive pulmonary disease and hypertension were observed. However, the increase in oxidative stress parameters was observed to be the most significant in patients with chronic obstructive pulmonary disease + hypertension and with I/I genotype of the ACE gene, which was due to their lowest values in virtually healthy individuals. This suggests that I/I genotype may be associated with lower levels of reactive oxygen species production compared with other genotypes.","author":[{"dropping-particle":"","family":"Marushchak","given":"Mariya","non-dropping-particle":"","parse-names":false,"suffix":""},{"dropping-particle":"","family":"Maksiv","given":"Khrystyna","non-dropping-particle":"","parse-names":false,"suffix":""},{"dropping-particle":"","family":"Krynytska","given":"Inna","non-dropping-particle":"","parse-names":false,"suffix":""},{"dropping-particle":"","family":"Dutchak","given":"Olha","non-dropping-particle":"","parse-names":false,"suffix":""},{"dropping-particle":"","family":"Behosh","given":"Nina","non-dropping-particle":"","parse-names":false,"suffix":""}],"container-title":"Journal of Medicine and Life","id":"ITEM-1","issue":"4","issued":{"date-parts":[["2019"]]},"page":"426-434","title":"The Severity of Oxidative Stress in Comorbid Chronic Obstructive Pulmonary Disease (COPD) and Hypertension: Does it Depend On ACE and AGT Gene Polymorphisms?","type":"article-journal","volume":"12"},"uris":["http://www.mendeley.com/documents/?uuid=c1e12dad-ec43-4c4a-9403-63b06e22971d"]},{"id":"ITEM-2","itemData":{"DOI":"10.22099/mbrc.2019.34904.1438","author":[{"dropping-particle":"","family":"Kirtipal","given":"Nikhil","non-dropping-particle":"","parse-names":false,"suffix":""},{"dropping-particle":"","family":"Thakur","given":"Hitender","non-dropping-particle":"","parse-names":false,"suffix":""},{"dropping-particle":"","family":"Sobti","given":"Ranbir Chander","non-dropping-particle":"","parse-names":false,"suffix":""}],"id":"ITEM-2","issue":"4","issued":{"date-parts":[["2019"]]},"page":"167-170","title":"MBRC Insertion / deletion polymorphism of angiotensin-converting enzyme and chronic obstructive pulmonary disease : A case- control study on north Indian population","type":"article-journal","volume":"8"},"uris":["http://www.mendeley.com/documents/?uuid=cdd0f2b1-a911-4911-91c7-5d318bbc963f"]}],"mendeley":{"formattedCitation":"(3,10)","plainTextFormattedCitation":"(3,10)"},"properties":{"noteIndex":0},"schema":"https://github.com/citation-style-language/schema/raw/master/csl-citation.json"}</w:instrText>
      </w:r>
      <w:r w:rsidR="00382513" w:rsidRPr="003314B7">
        <w:rPr>
          <w:rFonts w:asciiTheme="majorBidi" w:hAnsiTheme="majorBidi" w:cstheme="majorBidi"/>
          <w:lang w:val="en-US"/>
        </w:rPr>
        <w:fldChar w:fldCharType="separate"/>
      </w:r>
      <w:r w:rsidR="00382513" w:rsidRPr="003314B7">
        <w:rPr>
          <w:rFonts w:asciiTheme="majorBidi" w:hAnsiTheme="majorBidi" w:cstheme="majorBidi"/>
          <w:noProof/>
          <w:lang w:val="en-US"/>
        </w:rPr>
        <w:t>(3,10)</w:t>
      </w:r>
      <w:r w:rsidR="00382513" w:rsidRPr="003314B7">
        <w:rPr>
          <w:rFonts w:asciiTheme="majorBidi" w:hAnsiTheme="majorBidi" w:cstheme="majorBidi"/>
          <w:lang w:val="en-US"/>
        </w:rPr>
        <w:fldChar w:fldCharType="end"/>
      </w:r>
      <w:r w:rsidR="005733A8">
        <w:rPr>
          <w:rFonts w:asciiTheme="majorBidi" w:hAnsiTheme="majorBidi" w:cstheme="majorBidi"/>
          <w:lang w:val="en-US"/>
        </w:rPr>
        <w:t>.</w:t>
      </w:r>
    </w:p>
    <w:p w14:paraId="4A669C7D" w14:textId="79E386DE" w:rsidR="00AD61F1" w:rsidRPr="003314B7" w:rsidRDefault="00AD61F1" w:rsidP="00A3639A">
      <w:pPr>
        <w:spacing w:line="360" w:lineRule="auto"/>
        <w:jc w:val="both"/>
        <w:rPr>
          <w:rFonts w:asciiTheme="majorBidi" w:hAnsiTheme="majorBidi" w:cstheme="majorBidi"/>
          <w:b/>
          <w:bCs/>
          <w:lang w:val="en-US"/>
        </w:rPr>
      </w:pPr>
      <w:r w:rsidRPr="003314B7">
        <w:rPr>
          <w:rFonts w:asciiTheme="majorBidi" w:hAnsiTheme="majorBidi" w:cstheme="majorBidi"/>
          <w:b/>
          <w:bCs/>
          <w:lang w:val="en-US"/>
        </w:rPr>
        <w:t>Conclusion</w:t>
      </w:r>
      <w:r w:rsidR="00891F8F">
        <w:rPr>
          <w:rFonts w:asciiTheme="majorBidi" w:hAnsiTheme="majorBidi" w:cstheme="majorBidi"/>
          <w:b/>
          <w:bCs/>
          <w:lang w:val="en-US"/>
        </w:rPr>
        <w:t>s</w:t>
      </w:r>
      <w:r w:rsidRPr="003314B7">
        <w:rPr>
          <w:rFonts w:asciiTheme="majorBidi" w:hAnsiTheme="majorBidi" w:cstheme="majorBidi"/>
          <w:b/>
          <w:bCs/>
          <w:lang w:val="en-US"/>
        </w:rPr>
        <w:t xml:space="preserve">: </w:t>
      </w:r>
    </w:p>
    <w:p w14:paraId="4E0C577B" w14:textId="6C45C781" w:rsidR="0033461B" w:rsidRPr="003314B7" w:rsidRDefault="005733A8" w:rsidP="003314B7">
      <w:pPr>
        <w:spacing w:line="360" w:lineRule="auto"/>
        <w:jc w:val="both"/>
        <w:rPr>
          <w:rFonts w:asciiTheme="majorBidi" w:hAnsiTheme="majorBidi" w:cstheme="majorBidi"/>
          <w:b/>
          <w:bCs/>
          <w:lang w:val="en-US"/>
        </w:rPr>
      </w:pPr>
      <w:r>
        <w:rPr>
          <w:rFonts w:asciiTheme="majorBidi" w:hAnsiTheme="majorBidi" w:cstheme="majorBidi"/>
          <w:lang w:val="en-US"/>
        </w:rPr>
        <w:t>The study revealed</w:t>
      </w:r>
      <w:r w:rsidRPr="003314B7">
        <w:rPr>
          <w:rFonts w:asciiTheme="majorBidi" w:hAnsiTheme="majorBidi" w:cstheme="majorBidi"/>
          <w:lang w:val="en-US"/>
        </w:rPr>
        <w:t xml:space="preserve"> </w:t>
      </w:r>
      <w:r w:rsidR="00AD61F1" w:rsidRPr="003314B7">
        <w:rPr>
          <w:rFonts w:asciiTheme="majorBidi" w:hAnsiTheme="majorBidi" w:cstheme="majorBidi"/>
          <w:lang w:val="en-US"/>
        </w:rPr>
        <w:t xml:space="preserve">a significant correlation </w:t>
      </w:r>
      <w:r w:rsidR="00537093" w:rsidRPr="003314B7">
        <w:rPr>
          <w:rFonts w:asciiTheme="majorBidi" w:hAnsiTheme="majorBidi" w:cstheme="majorBidi"/>
          <w:lang w:val="en-US"/>
        </w:rPr>
        <w:t>between the D allele in the ACE gene</w:t>
      </w:r>
      <w:r w:rsidR="00AD61F1" w:rsidRPr="003314B7">
        <w:rPr>
          <w:rFonts w:asciiTheme="majorBidi" w:hAnsiTheme="majorBidi" w:cstheme="majorBidi"/>
          <w:lang w:val="en-US"/>
        </w:rPr>
        <w:t xml:space="preserve"> and an increased risk of developing HTN and COPD in patients. This suggests this </w:t>
      </w:r>
      <w:r w:rsidR="00F33AD2" w:rsidRPr="003314B7">
        <w:rPr>
          <w:rFonts w:asciiTheme="majorBidi" w:hAnsiTheme="majorBidi" w:cstheme="majorBidi"/>
          <w:lang w:val="en-US"/>
        </w:rPr>
        <w:t>allele</w:t>
      </w:r>
      <w:r w:rsidR="00AD61F1" w:rsidRPr="003314B7">
        <w:rPr>
          <w:rFonts w:asciiTheme="majorBidi" w:hAnsiTheme="majorBidi" w:cstheme="majorBidi"/>
          <w:lang w:val="en-US"/>
        </w:rPr>
        <w:t xml:space="preserve"> may be </w:t>
      </w:r>
      <w:r w:rsidR="004D5241" w:rsidRPr="003314B7">
        <w:rPr>
          <w:rFonts w:asciiTheme="majorBidi" w:hAnsiTheme="majorBidi" w:cstheme="majorBidi"/>
          <w:lang w:val="en-US"/>
        </w:rPr>
        <w:t xml:space="preserve">associated with </w:t>
      </w:r>
      <w:r w:rsidR="00AD61F1" w:rsidRPr="003314B7">
        <w:rPr>
          <w:rFonts w:asciiTheme="majorBidi" w:hAnsiTheme="majorBidi" w:cstheme="majorBidi"/>
          <w:lang w:val="en-US"/>
        </w:rPr>
        <w:t>a higher likelihood of occurrenc</w:t>
      </w:r>
      <w:r w:rsidR="00E45174" w:rsidRPr="003314B7">
        <w:rPr>
          <w:rFonts w:asciiTheme="majorBidi" w:hAnsiTheme="majorBidi" w:cstheme="majorBidi"/>
          <w:lang w:val="en-US"/>
        </w:rPr>
        <w:t xml:space="preserve">e </w:t>
      </w:r>
      <w:r w:rsidR="00F145F0" w:rsidRPr="003314B7">
        <w:rPr>
          <w:rFonts w:asciiTheme="majorBidi" w:hAnsiTheme="majorBidi" w:cstheme="majorBidi"/>
          <w:lang w:val="en-US"/>
        </w:rPr>
        <w:t>of both</w:t>
      </w:r>
      <w:r w:rsidR="00E45174" w:rsidRPr="003314B7">
        <w:rPr>
          <w:rFonts w:asciiTheme="majorBidi" w:hAnsiTheme="majorBidi" w:cstheme="majorBidi"/>
          <w:lang w:val="en-US"/>
        </w:rPr>
        <w:t xml:space="preserve"> </w:t>
      </w:r>
      <w:r w:rsidR="00C65CBF" w:rsidRPr="003314B7">
        <w:rPr>
          <w:rFonts w:asciiTheme="majorBidi" w:hAnsiTheme="majorBidi" w:cstheme="majorBidi"/>
          <w:lang w:val="en-US"/>
        </w:rPr>
        <w:t>COPD and HTN</w:t>
      </w:r>
      <w:r w:rsidR="00AD61F1" w:rsidRPr="003314B7">
        <w:rPr>
          <w:rFonts w:asciiTheme="majorBidi" w:hAnsiTheme="majorBidi" w:cstheme="majorBidi"/>
          <w:lang w:val="en-US"/>
        </w:rPr>
        <w:t xml:space="preserve">. Therefore, extensive and comprehensive studies </w:t>
      </w:r>
      <w:r w:rsidR="005F7DC0" w:rsidRPr="003314B7">
        <w:rPr>
          <w:rFonts w:asciiTheme="majorBidi" w:hAnsiTheme="majorBidi" w:cstheme="majorBidi"/>
          <w:lang w:val="en-US"/>
        </w:rPr>
        <w:t>with a large sample size are required</w:t>
      </w:r>
      <w:r w:rsidR="0045225B">
        <w:rPr>
          <w:rFonts w:asciiTheme="majorBidi" w:hAnsiTheme="majorBidi" w:cstheme="majorBidi"/>
          <w:lang w:val="en-US"/>
        </w:rPr>
        <w:t xml:space="preserve"> to establish ACE gene polymorphisms in COPD and HTN</w:t>
      </w:r>
      <w:r w:rsidR="005F7DC0" w:rsidRPr="003314B7">
        <w:rPr>
          <w:rFonts w:asciiTheme="majorBidi" w:hAnsiTheme="majorBidi" w:cstheme="majorBidi"/>
          <w:b/>
          <w:bCs/>
          <w:lang w:val="en-US"/>
        </w:rPr>
        <w:t xml:space="preserve">. </w:t>
      </w:r>
      <w:r w:rsidR="00BD24E1" w:rsidRPr="003314B7">
        <w:rPr>
          <w:rFonts w:asciiTheme="majorBidi" w:hAnsiTheme="majorBidi" w:cstheme="majorBidi"/>
          <w:b/>
          <w:bCs/>
          <w:lang w:val="en-US"/>
        </w:rPr>
        <w:t xml:space="preserve">   </w:t>
      </w:r>
    </w:p>
    <w:p w14:paraId="325C4EAD" w14:textId="77777777" w:rsidR="00243B05" w:rsidRDefault="00BD24E1" w:rsidP="003314B7">
      <w:pPr>
        <w:spacing w:line="360" w:lineRule="auto"/>
        <w:jc w:val="both"/>
        <w:rPr>
          <w:rFonts w:asciiTheme="majorBidi" w:hAnsiTheme="majorBidi" w:cstheme="majorBidi"/>
          <w:b/>
          <w:bCs/>
          <w:lang w:val="en-US"/>
        </w:rPr>
      </w:pPr>
      <w:r w:rsidRPr="003314B7">
        <w:rPr>
          <w:rFonts w:asciiTheme="majorBidi" w:hAnsiTheme="majorBidi" w:cstheme="majorBidi"/>
          <w:b/>
          <w:bCs/>
          <w:lang w:val="en-US"/>
        </w:rPr>
        <w:t xml:space="preserve"> </w:t>
      </w:r>
      <w:r w:rsidR="00D84900" w:rsidRPr="003314B7">
        <w:rPr>
          <w:rFonts w:asciiTheme="majorBidi" w:hAnsiTheme="majorBidi" w:cstheme="majorBidi"/>
          <w:b/>
          <w:bCs/>
          <w:lang w:val="en-US"/>
        </w:rPr>
        <w:t>Acknowledgement</w:t>
      </w:r>
      <w:r w:rsidR="00891F8F">
        <w:rPr>
          <w:rFonts w:asciiTheme="majorBidi" w:hAnsiTheme="majorBidi" w:cstheme="majorBidi"/>
          <w:b/>
          <w:bCs/>
          <w:lang w:val="en-US"/>
        </w:rPr>
        <w:t>s</w:t>
      </w:r>
      <w:r w:rsidR="00D84900" w:rsidRPr="003314B7">
        <w:rPr>
          <w:rFonts w:asciiTheme="majorBidi" w:hAnsiTheme="majorBidi" w:cstheme="majorBidi"/>
          <w:b/>
          <w:bCs/>
          <w:lang w:val="en-US"/>
        </w:rPr>
        <w:t xml:space="preserve">: </w:t>
      </w:r>
    </w:p>
    <w:p w14:paraId="4A771ECD" w14:textId="0B1150FA" w:rsidR="00BD24E1" w:rsidRPr="003314B7" w:rsidRDefault="00D84900" w:rsidP="003314B7">
      <w:pPr>
        <w:spacing w:line="360" w:lineRule="auto"/>
        <w:jc w:val="both"/>
        <w:rPr>
          <w:rFonts w:asciiTheme="majorBidi" w:hAnsiTheme="majorBidi" w:cstheme="majorBidi"/>
          <w:lang w:val="en-US"/>
        </w:rPr>
      </w:pPr>
      <w:bookmarkStart w:id="0" w:name="_GoBack"/>
      <w:bookmarkEnd w:id="0"/>
      <w:r w:rsidRPr="003314B7">
        <w:rPr>
          <w:rFonts w:asciiTheme="majorBidi" w:hAnsiTheme="majorBidi" w:cstheme="majorBidi"/>
          <w:lang w:val="en-US"/>
        </w:rPr>
        <w:t>The author</w:t>
      </w:r>
      <w:r w:rsidR="0033461B" w:rsidRPr="003314B7">
        <w:rPr>
          <w:rFonts w:asciiTheme="majorBidi" w:hAnsiTheme="majorBidi" w:cstheme="majorBidi"/>
          <w:lang w:val="en-US"/>
        </w:rPr>
        <w:t>s</w:t>
      </w:r>
      <w:r w:rsidRPr="003314B7">
        <w:rPr>
          <w:rFonts w:asciiTheme="majorBidi" w:hAnsiTheme="majorBidi" w:cstheme="majorBidi"/>
          <w:lang w:val="en-US"/>
        </w:rPr>
        <w:t xml:space="preserve"> extend gratitude to the Defence Research and Development Organisation</w:t>
      </w:r>
      <w:r w:rsidR="00BD24E1" w:rsidRPr="003314B7">
        <w:rPr>
          <w:rFonts w:asciiTheme="majorBidi" w:hAnsiTheme="majorBidi" w:cstheme="majorBidi"/>
          <w:lang w:val="en-US"/>
        </w:rPr>
        <w:t xml:space="preserve"> (DRDO) for their</w:t>
      </w:r>
      <w:r w:rsidR="0045225B">
        <w:rPr>
          <w:rFonts w:asciiTheme="majorBidi" w:hAnsiTheme="majorBidi" w:cstheme="majorBidi"/>
          <w:lang w:val="en-US"/>
        </w:rPr>
        <w:t xml:space="preserve"> financial</w:t>
      </w:r>
      <w:r w:rsidR="00BD24E1" w:rsidRPr="003314B7">
        <w:rPr>
          <w:rFonts w:asciiTheme="majorBidi" w:hAnsiTheme="majorBidi" w:cstheme="majorBidi"/>
          <w:lang w:val="en-US"/>
        </w:rPr>
        <w:t xml:space="preserve"> support under Project No. LSRB-387/PEE&amp;BS/2021. The authors also express their appreciation to all the patients who participated in this study. </w:t>
      </w:r>
    </w:p>
    <w:p w14:paraId="0DDFC75C" w14:textId="77777777" w:rsidR="005733A8" w:rsidRPr="003314B7" w:rsidRDefault="005733A8" w:rsidP="005F7DC0">
      <w:pPr>
        <w:jc w:val="both"/>
        <w:rPr>
          <w:rFonts w:asciiTheme="majorBidi" w:hAnsiTheme="majorBidi" w:cstheme="majorBidi"/>
          <w:lang w:val="en-US"/>
        </w:rPr>
      </w:pPr>
    </w:p>
    <w:p w14:paraId="11348680" w14:textId="1A23EC84" w:rsidR="005F7DC0" w:rsidRPr="003314B7" w:rsidRDefault="005F7DC0" w:rsidP="005F7DC0">
      <w:pPr>
        <w:jc w:val="both"/>
        <w:rPr>
          <w:rFonts w:asciiTheme="majorBidi" w:hAnsiTheme="majorBidi" w:cstheme="majorBidi"/>
          <w:b/>
          <w:bCs/>
          <w:lang w:val="en-US"/>
        </w:rPr>
      </w:pPr>
      <w:r w:rsidRPr="003314B7">
        <w:rPr>
          <w:rFonts w:asciiTheme="majorBidi" w:hAnsiTheme="majorBidi" w:cstheme="majorBidi"/>
          <w:b/>
          <w:bCs/>
          <w:lang w:val="en-US"/>
        </w:rPr>
        <w:t xml:space="preserve">References:                                                                                                                                                                                                                                                                                                </w:t>
      </w:r>
    </w:p>
    <w:p w14:paraId="3C682032" w14:textId="77777777" w:rsid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Goyal A, Chopra V, Garg K, Sharma S. Mechanisms coupling the mTOR pathway to chronic obstructive pulmonary disease (COPD) pathogenesis. Cytokine Growth Factor Rev [Internet]. 2025;82:55–69. </w:t>
      </w:r>
    </w:p>
    <w:p w14:paraId="4D810C5F" w14:textId="79A5EEC2" w:rsidR="00C310D7" w:rsidRDefault="00DC25BD" w:rsidP="008B35BB">
      <w:pPr>
        <w:pStyle w:val="ListParagraph"/>
        <w:widowControl w:val="0"/>
        <w:autoSpaceDE w:val="0"/>
        <w:autoSpaceDN w:val="0"/>
        <w:adjustRightInd w:val="0"/>
        <w:spacing w:line="240" w:lineRule="auto"/>
        <w:ind w:left="1000"/>
        <w:jc w:val="both"/>
        <w:rPr>
          <w:rFonts w:asciiTheme="majorBidi" w:hAnsiTheme="majorBidi" w:cstheme="majorBidi"/>
          <w:noProof/>
          <w:color w:val="000000" w:themeColor="text1"/>
          <w:kern w:val="0"/>
          <w:lang w:val="en-US"/>
        </w:rPr>
      </w:pPr>
      <w:hyperlink r:id="rId9" w:history="1">
        <w:r w:rsidR="00891F8F" w:rsidRPr="00EF2655">
          <w:rPr>
            <w:rStyle w:val="Hyperlink"/>
            <w:rFonts w:asciiTheme="majorBidi" w:hAnsiTheme="majorBidi" w:cstheme="majorBidi"/>
            <w:noProof/>
            <w:kern w:val="0"/>
            <w:lang w:val="en-US"/>
          </w:rPr>
          <w:t>https://www.sciencedirect.com/science/article/pii/S1359610124001060</w:t>
        </w:r>
      </w:hyperlink>
    </w:p>
    <w:p w14:paraId="20EB322E" w14:textId="77777777" w:rsidR="00891F8F" w:rsidRPr="0022323F" w:rsidRDefault="00891F8F" w:rsidP="008B35BB">
      <w:pPr>
        <w:pStyle w:val="ListParagraph"/>
        <w:widowControl w:val="0"/>
        <w:autoSpaceDE w:val="0"/>
        <w:autoSpaceDN w:val="0"/>
        <w:adjustRightInd w:val="0"/>
        <w:spacing w:line="240" w:lineRule="auto"/>
        <w:ind w:left="1000"/>
        <w:jc w:val="both"/>
        <w:rPr>
          <w:rFonts w:asciiTheme="majorBidi" w:hAnsiTheme="majorBidi" w:cstheme="majorBidi"/>
          <w:noProof/>
          <w:color w:val="000000" w:themeColor="text1"/>
          <w:kern w:val="0"/>
          <w:lang w:val="en-US"/>
        </w:rPr>
      </w:pPr>
    </w:p>
    <w:p w14:paraId="64311120" w14:textId="496AEFB0" w:rsidR="00891F8F" w:rsidRDefault="00C310D7" w:rsidP="008B35BB">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891F8F">
        <w:rPr>
          <w:rFonts w:asciiTheme="majorBidi" w:hAnsiTheme="majorBidi" w:cstheme="majorBidi"/>
          <w:noProof/>
          <w:color w:val="000000" w:themeColor="text1"/>
          <w:kern w:val="0"/>
          <w:lang w:val="en-US"/>
        </w:rPr>
        <w:t xml:space="preserve">Song Z, Meng Y, Fricker M, Li X, Tian H, Tan Y, et al. The role of gut-lung axis in COPD: Pathogenesis, immune response, and prospective treatment. Heliyon [Internet]. 2024;10(9):e30612. </w:t>
      </w:r>
      <w:hyperlink r:id="rId10" w:history="1">
        <w:r w:rsidRPr="00891F8F">
          <w:rPr>
            <w:rStyle w:val="Hyperlink"/>
            <w:rFonts w:asciiTheme="majorBidi" w:hAnsiTheme="majorBidi" w:cstheme="majorBidi"/>
            <w:noProof/>
            <w:color w:val="000000" w:themeColor="text1"/>
            <w:kern w:val="0"/>
            <w:u w:val="none"/>
            <w:lang w:val="en-US"/>
          </w:rPr>
          <w:t>https://doi.org/10.1016/j.heliyon.2024.e30612</w:t>
        </w:r>
      </w:hyperlink>
    </w:p>
    <w:p w14:paraId="2679FE78" w14:textId="77777777" w:rsidR="00891F8F" w:rsidRDefault="00891F8F" w:rsidP="008B35BB">
      <w:pPr>
        <w:pStyle w:val="ListParagraph"/>
        <w:widowControl w:val="0"/>
        <w:autoSpaceDE w:val="0"/>
        <w:autoSpaceDN w:val="0"/>
        <w:adjustRightInd w:val="0"/>
        <w:spacing w:line="240" w:lineRule="auto"/>
        <w:ind w:left="1000"/>
        <w:jc w:val="both"/>
        <w:rPr>
          <w:rFonts w:asciiTheme="majorBidi" w:hAnsiTheme="majorBidi" w:cstheme="majorBidi"/>
          <w:noProof/>
          <w:color w:val="000000" w:themeColor="text1"/>
          <w:kern w:val="0"/>
          <w:lang w:val="en-US"/>
        </w:rPr>
      </w:pPr>
    </w:p>
    <w:p w14:paraId="7EB74E71" w14:textId="3123F8AB"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891F8F">
        <w:rPr>
          <w:rFonts w:asciiTheme="majorBidi" w:hAnsiTheme="majorBidi" w:cstheme="majorBidi"/>
          <w:noProof/>
          <w:color w:val="000000" w:themeColor="text1"/>
          <w:kern w:val="0"/>
          <w:lang w:val="en-US"/>
        </w:rPr>
        <w:t xml:space="preserve">Marushchak M, Maksiv K, Krynytska I, Dutchak O, Behosh N. The Severity of Oxidative        Stress in Comorbid Chronic Obstructive Pulmonary Disease (COPD) and Hypertension: Does it Depend On ACE and AGT Gene Polymorphisms? J Med Life. 2019;12(4):426–34. </w:t>
      </w:r>
      <w:r w:rsidRPr="00891F8F">
        <w:rPr>
          <w:rFonts w:asciiTheme="majorBidi" w:eastAsia="Times New Roman" w:hAnsiTheme="majorBidi" w:cstheme="majorBidi"/>
          <w:color w:val="000000" w:themeColor="text1"/>
          <w:kern w:val="0"/>
          <w:lang w:eastAsia="en-IN"/>
          <w14:ligatures w14:val="none"/>
        </w:rPr>
        <w:t>DOI: </w:t>
      </w:r>
      <w:hyperlink r:id="rId11" w:tgtFrame="_blank" w:history="1">
        <w:r w:rsidRPr="00891F8F">
          <w:rPr>
            <w:rFonts w:asciiTheme="majorBidi" w:eastAsia="Times New Roman" w:hAnsiTheme="majorBidi" w:cstheme="majorBidi"/>
            <w:color w:val="000000" w:themeColor="text1"/>
            <w:kern w:val="0"/>
            <w:lang w:eastAsia="en-IN"/>
            <w14:ligatures w14:val="none"/>
          </w:rPr>
          <w:t>10.25122/jml-2019-0108</w:t>
        </w:r>
      </w:hyperlink>
    </w:p>
    <w:p w14:paraId="56A01CC2"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4A39B738" w14:textId="1F1F0AFD"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Mathers CD. History of global burden of disease assessment at the World Health Organization. Arch Public Heal. 2020;78(1):1–13.</w:t>
      </w:r>
      <w:r w:rsidRPr="0022323F">
        <w:rPr>
          <w:rFonts w:asciiTheme="majorBidi" w:eastAsia="Times New Roman" w:hAnsiTheme="majorBidi" w:cstheme="majorBidi"/>
          <w:color w:val="000000" w:themeColor="text1"/>
          <w:kern w:val="0"/>
          <w:lang w:eastAsia="en-IN"/>
          <w14:ligatures w14:val="none"/>
        </w:rPr>
        <w:t>DOI: </w:t>
      </w:r>
      <w:hyperlink r:id="rId12" w:tgtFrame="_blank" w:history="1">
        <w:r w:rsidRPr="0022323F">
          <w:rPr>
            <w:rFonts w:asciiTheme="majorBidi" w:eastAsia="Times New Roman" w:hAnsiTheme="majorBidi" w:cstheme="majorBidi"/>
            <w:color w:val="000000" w:themeColor="text1"/>
            <w:kern w:val="0"/>
            <w:lang w:eastAsia="en-IN"/>
            <w14:ligatures w14:val="none"/>
          </w:rPr>
          <w:t>10.1186/s13690-020-00458-3</w:t>
        </w:r>
      </w:hyperlink>
    </w:p>
    <w:p w14:paraId="51E92F7A"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4833A1AE" w14:textId="169267C9"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it-IT"/>
        </w:rPr>
        <w:t xml:space="preserve">de Oca MM, Perez-Padilla R, Celli B, Aaron SD, Wehrmeister FC, Amaral AFS, et al. </w:t>
      </w:r>
      <w:r w:rsidRPr="0022323F">
        <w:rPr>
          <w:rFonts w:asciiTheme="majorBidi" w:hAnsiTheme="majorBidi" w:cstheme="majorBidi"/>
          <w:noProof/>
          <w:color w:val="000000" w:themeColor="text1"/>
          <w:kern w:val="0"/>
          <w:lang w:val="en-US"/>
        </w:rPr>
        <w:t xml:space="preserve">The global burden of COPD: epidemiology and effect of prevention strategies. Lancet Respir Med. 2025;13(8):709–24. </w:t>
      </w:r>
      <w:r w:rsidRPr="0022323F">
        <w:rPr>
          <w:rFonts w:asciiTheme="majorBidi" w:hAnsiTheme="majorBidi" w:cstheme="majorBidi"/>
          <w:color w:val="000000" w:themeColor="text1"/>
          <w:shd w:val="clear" w:color="auto" w:fill="FFFFFF"/>
        </w:rPr>
        <w:t>doi: 10.1016/S2213-2600(24)00339-4.</w:t>
      </w:r>
    </w:p>
    <w:p w14:paraId="011C51AB"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2075FB29" w14:textId="4DC407C7"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Gintoni I, Adamopoulou M, Yapijakis C. The Impact of ACE and ACE2 Gene Polymorphisms in Pulmonary Diseases including COVID-19. In Vivo (Brooklyn). 2022;36(1):13–29. </w:t>
      </w:r>
      <w:r w:rsidRPr="0022323F">
        <w:rPr>
          <w:rFonts w:asciiTheme="majorBidi" w:eastAsia="Times New Roman" w:hAnsiTheme="majorBidi" w:cstheme="majorBidi"/>
          <w:color w:val="000000" w:themeColor="text1"/>
          <w:kern w:val="0"/>
          <w:lang w:eastAsia="en-IN"/>
          <w14:ligatures w14:val="none"/>
        </w:rPr>
        <w:t> DOI: </w:t>
      </w:r>
      <w:hyperlink r:id="rId13" w:tgtFrame="_blank" w:history="1">
        <w:r w:rsidRPr="0022323F">
          <w:rPr>
            <w:rFonts w:asciiTheme="majorBidi" w:eastAsia="Times New Roman" w:hAnsiTheme="majorBidi" w:cstheme="majorBidi"/>
            <w:color w:val="000000" w:themeColor="text1"/>
            <w:kern w:val="0"/>
            <w:lang w:eastAsia="en-IN"/>
            <w14:ligatures w14:val="none"/>
          </w:rPr>
          <w:t>10.21873/invivo.12672</w:t>
        </w:r>
      </w:hyperlink>
    </w:p>
    <w:p w14:paraId="4E7718CF"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4CF86EEB" w14:textId="5A1064A0"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Wu X, Li W, Luo Z, Chen Y. Increased Frequency of Angiotensin-Converting Enzyme D Allele in Asian Patients With Chronic Obstructive Pulmonary Disease: An Updated Meta-Analysis. Clin Respir J. 2024;18(8). </w:t>
      </w:r>
      <w:r w:rsidRPr="0022323F">
        <w:rPr>
          <w:rFonts w:asciiTheme="majorBidi" w:eastAsia="Times New Roman" w:hAnsiTheme="majorBidi" w:cstheme="majorBidi"/>
          <w:color w:val="000000" w:themeColor="text1"/>
          <w:kern w:val="0"/>
          <w:lang w:eastAsia="en-IN"/>
          <w14:ligatures w14:val="none"/>
        </w:rPr>
        <w:t> DOI: </w:t>
      </w:r>
      <w:hyperlink r:id="rId14" w:tgtFrame="_blank" w:history="1">
        <w:r w:rsidRPr="0022323F">
          <w:rPr>
            <w:rFonts w:asciiTheme="majorBidi" w:eastAsia="Times New Roman" w:hAnsiTheme="majorBidi" w:cstheme="majorBidi"/>
            <w:color w:val="000000" w:themeColor="text1"/>
            <w:kern w:val="0"/>
            <w:lang w:eastAsia="en-IN"/>
            <w14:ligatures w14:val="none"/>
          </w:rPr>
          <w:t>10.1111/crj.70002</w:t>
        </w:r>
      </w:hyperlink>
    </w:p>
    <w:p w14:paraId="5FCA1008"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5A5D51B6" w14:textId="61744EE8"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Okyere DO, Bui DS, Washko GR, Lodge CJ, Lowe AJ, Cassim R, et al. Predictors of lung function trajectories in population-based studies: A systematic review. Respirology. 2021;26(10):938–59.</w:t>
      </w:r>
      <w:r w:rsidRPr="0022323F">
        <w:rPr>
          <w:rFonts w:asciiTheme="majorBidi" w:eastAsia="Times New Roman" w:hAnsiTheme="majorBidi" w:cstheme="majorBidi"/>
          <w:color w:val="000000" w:themeColor="text1"/>
          <w:kern w:val="0"/>
          <w:lang w:eastAsia="en-IN"/>
          <w14:ligatures w14:val="none"/>
        </w:rPr>
        <w:t> DOI: </w:t>
      </w:r>
      <w:hyperlink r:id="rId15" w:tgtFrame="_blank" w:history="1">
        <w:r w:rsidRPr="0022323F">
          <w:rPr>
            <w:rFonts w:asciiTheme="majorBidi" w:eastAsia="Times New Roman" w:hAnsiTheme="majorBidi" w:cstheme="majorBidi"/>
            <w:color w:val="000000" w:themeColor="text1"/>
            <w:kern w:val="0"/>
            <w:lang w:eastAsia="en-IN"/>
            <w14:ligatures w14:val="none"/>
          </w:rPr>
          <w:t>10.1111/resp.14142</w:t>
        </w:r>
      </w:hyperlink>
    </w:p>
    <w:p w14:paraId="2398F9D4"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42FDD692" w14:textId="66CB7101"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Demeo DL. Sex , Gender , and COPD. 2025;471–90. </w:t>
      </w:r>
      <w:r w:rsidRPr="0022323F">
        <w:rPr>
          <w:rFonts w:asciiTheme="majorBidi" w:eastAsia="Times New Roman" w:hAnsiTheme="majorBidi" w:cstheme="majorBidi"/>
          <w:color w:val="000000" w:themeColor="text1"/>
          <w:kern w:val="0"/>
          <w:lang w:eastAsia="en-IN"/>
          <w14:ligatures w14:val="none"/>
        </w:rPr>
        <w:t>DOI: </w:t>
      </w:r>
      <w:hyperlink r:id="rId16" w:tgtFrame="_blank" w:history="1">
        <w:r w:rsidRPr="0022323F">
          <w:rPr>
            <w:rFonts w:asciiTheme="majorBidi" w:eastAsia="Times New Roman" w:hAnsiTheme="majorBidi" w:cstheme="majorBidi"/>
            <w:color w:val="000000" w:themeColor="text1"/>
            <w:kern w:val="0"/>
            <w:lang w:eastAsia="en-IN"/>
            <w14:ligatures w14:val="none"/>
          </w:rPr>
          <w:t>10.1146/annurev-physiol-042022-014322</w:t>
        </w:r>
      </w:hyperlink>
    </w:p>
    <w:p w14:paraId="14F909ED"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145EC4FC" w14:textId="7CDE19BF"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Kirtipal N, Thakur H, Sobti RC. MBRC Insertion / deletion polymorphism of angiotensin-converting enzyme and chronic obstructive pulmonary disease : A case- control study on north Indian population. 2019;8(4):167–70. </w:t>
      </w:r>
      <w:r w:rsidRPr="0022323F">
        <w:rPr>
          <w:rFonts w:asciiTheme="majorBidi" w:eastAsia="Times New Roman" w:hAnsiTheme="majorBidi" w:cstheme="majorBidi"/>
          <w:color w:val="000000" w:themeColor="text1"/>
          <w:kern w:val="0"/>
          <w:lang w:eastAsia="en-IN"/>
          <w14:ligatures w14:val="none"/>
        </w:rPr>
        <w:t>DOI: </w:t>
      </w:r>
      <w:hyperlink r:id="rId17" w:tgtFrame="_blank" w:history="1">
        <w:r w:rsidRPr="0022323F">
          <w:rPr>
            <w:rFonts w:asciiTheme="majorBidi" w:eastAsia="Times New Roman" w:hAnsiTheme="majorBidi" w:cstheme="majorBidi"/>
            <w:color w:val="000000" w:themeColor="text1"/>
            <w:kern w:val="0"/>
            <w:lang w:eastAsia="en-IN"/>
            <w14:ligatures w14:val="none"/>
          </w:rPr>
          <w:t>10.22099/mbrc.2019.34904.1438</w:t>
        </w:r>
      </w:hyperlink>
    </w:p>
    <w:p w14:paraId="51CC89ED"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32EDB743" w14:textId="045ACC52" w:rsidR="00C310D7" w:rsidRPr="00891F8F" w:rsidRDefault="00C310D7" w:rsidP="008B35BB">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22323F">
        <w:rPr>
          <w:rFonts w:asciiTheme="majorBidi" w:hAnsiTheme="majorBidi" w:cstheme="majorBidi"/>
          <w:noProof/>
          <w:color w:val="000000" w:themeColor="text1"/>
          <w:kern w:val="0"/>
          <w:lang w:val="en-US"/>
        </w:rPr>
        <w:t xml:space="preserve">Mlak R, Homa-Mlak I, Powrózek T, Mackiewicz B, Michnar M, Krawczyk P, et al. Impact of I/D polymorphism of ACE gene on risk of development and course of chronic obstructive pulmonary disease. Arch Med Sci. 2016;12(2):279–87. </w:t>
      </w:r>
      <w:r w:rsidRPr="0022323F">
        <w:rPr>
          <w:rFonts w:asciiTheme="majorBidi" w:hAnsiTheme="majorBidi" w:cstheme="majorBidi"/>
          <w:color w:val="000000" w:themeColor="text1"/>
          <w:shd w:val="clear" w:color="auto" w:fill="FFFFFF"/>
        </w:rPr>
        <w:t>doi: </w:t>
      </w:r>
      <w:hyperlink r:id="rId18" w:tgtFrame="_blank" w:history="1">
        <w:r w:rsidRPr="0022323F">
          <w:rPr>
            <w:rStyle w:val="Hyperlink"/>
            <w:rFonts w:asciiTheme="majorBidi" w:hAnsiTheme="majorBidi" w:cstheme="majorBidi"/>
            <w:color w:val="000000" w:themeColor="text1"/>
            <w:u w:val="none"/>
            <w:shd w:val="clear" w:color="auto" w:fill="FFFFFF"/>
          </w:rPr>
          <w:t>10.5114/aoms.2015.50757</w:t>
        </w:r>
      </w:hyperlink>
    </w:p>
    <w:p w14:paraId="525403B7"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69BB7F7E" w14:textId="4D3CCFE3" w:rsidR="00C310D7" w:rsidRPr="00FD0897" w:rsidRDefault="00C310D7" w:rsidP="00FD0897">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22323F">
        <w:rPr>
          <w:rFonts w:asciiTheme="majorBidi" w:hAnsiTheme="majorBidi" w:cstheme="majorBidi"/>
          <w:noProof/>
          <w:color w:val="000000" w:themeColor="text1"/>
          <w:kern w:val="0"/>
          <w:lang w:val="en-US"/>
        </w:rPr>
        <w:t xml:space="preserve">Marushchak M, Maksiv K, Krynytska I. ACE gene I/D polymorphism and arterial hypertension in patients with COPD. Pneumologia. 2019;68(3):114–9. </w:t>
      </w:r>
      <w:r w:rsidRPr="00FD0897">
        <w:rPr>
          <w:rFonts w:asciiTheme="majorBidi" w:hAnsiTheme="majorBidi" w:cstheme="majorBidi"/>
          <w:color w:val="000000" w:themeColor="text1"/>
          <w:shd w:val="clear" w:color="auto" w:fill="FFE4DC"/>
        </w:rPr>
        <w:t>DOI: </w:t>
      </w:r>
      <w:hyperlink r:id="rId19" w:tgtFrame="_blank" w:history="1">
        <w:r w:rsidRPr="00FD0897">
          <w:rPr>
            <w:rStyle w:val="Hyperlink"/>
            <w:rFonts w:asciiTheme="majorBidi" w:hAnsiTheme="majorBidi" w:cstheme="majorBidi"/>
            <w:color w:val="000000" w:themeColor="text1"/>
            <w:u w:val="none"/>
            <w:shd w:val="clear" w:color="auto" w:fill="FFE4DC"/>
          </w:rPr>
          <w:t>https://doi.org/10.2478/pneum-2019-0039</w:t>
        </w:r>
      </w:hyperlink>
      <w:r w:rsidR="006D46B0">
        <w:rPr>
          <w:rStyle w:val="Hyperlink"/>
          <w:rFonts w:asciiTheme="majorBidi" w:hAnsiTheme="majorBidi" w:cstheme="majorBidi"/>
          <w:color w:val="000000" w:themeColor="text1"/>
          <w:u w:val="none"/>
          <w:shd w:val="clear" w:color="auto" w:fill="FFE4DC"/>
        </w:rPr>
        <w:t xml:space="preserve">  </w:t>
      </w:r>
    </w:p>
    <w:p w14:paraId="528806A8" w14:textId="77777777" w:rsidR="00FD0897" w:rsidRPr="00FD0897" w:rsidRDefault="00FD0897" w:rsidP="00FD0897">
      <w:pPr>
        <w:pStyle w:val="ListParagraph"/>
        <w:rPr>
          <w:rStyle w:val="Hyperlink"/>
          <w:rFonts w:asciiTheme="majorBidi" w:hAnsiTheme="majorBidi" w:cstheme="majorBidi"/>
          <w:noProof/>
          <w:color w:val="000000" w:themeColor="text1"/>
          <w:kern w:val="0"/>
          <w:u w:val="none"/>
          <w:lang w:val="en-US"/>
        </w:rPr>
      </w:pPr>
    </w:p>
    <w:p w14:paraId="24B86F06" w14:textId="77777777" w:rsidR="00FD0897" w:rsidRPr="00FD0897" w:rsidRDefault="00FD0897" w:rsidP="00FD0897">
      <w:pPr>
        <w:pStyle w:val="ListParagraph"/>
        <w:widowControl w:val="0"/>
        <w:autoSpaceDE w:val="0"/>
        <w:autoSpaceDN w:val="0"/>
        <w:adjustRightInd w:val="0"/>
        <w:spacing w:line="240" w:lineRule="auto"/>
        <w:ind w:left="1000"/>
        <w:jc w:val="both"/>
        <w:rPr>
          <w:rStyle w:val="Hyperlink"/>
          <w:rFonts w:asciiTheme="majorBidi" w:hAnsiTheme="majorBidi" w:cstheme="majorBidi"/>
          <w:noProof/>
          <w:color w:val="000000" w:themeColor="text1"/>
          <w:kern w:val="0"/>
          <w:u w:val="none"/>
          <w:lang w:val="en-US"/>
        </w:rPr>
      </w:pPr>
    </w:p>
    <w:p w14:paraId="1C017325" w14:textId="77777777" w:rsidR="00891F8F" w:rsidRPr="00891F8F" w:rsidRDefault="00891F8F" w:rsidP="00FD0897">
      <w:pPr>
        <w:pStyle w:val="ListParagraph"/>
        <w:jc w:val="both"/>
        <w:rPr>
          <w:rFonts w:asciiTheme="majorBidi" w:hAnsiTheme="majorBidi" w:cstheme="majorBidi"/>
          <w:noProof/>
          <w:color w:val="000000" w:themeColor="text1"/>
          <w:kern w:val="0"/>
          <w:lang w:val="en-US"/>
        </w:rPr>
      </w:pPr>
    </w:p>
    <w:p w14:paraId="219BC59A" w14:textId="62290170"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Li YF, Zhu XM, Liu F, Xiao CS, Bian YF, Li H, et al. Angiotensin-converting enzyme (ACE) gene insertion/deletion polymorphism and ACE inhibitor-related cough: A meta-analysis. PLoS One. 2012;7(6). </w:t>
      </w:r>
      <w:r w:rsidRPr="0022323F">
        <w:rPr>
          <w:rFonts w:asciiTheme="majorBidi" w:eastAsia="Times New Roman" w:hAnsiTheme="majorBidi" w:cstheme="majorBidi"/>
          <w:color w:val="000000" w:themeColor="text1"/>
          <w:kern w:val="0"/>
          <w:lang w:eastAsia="en-IN"/>
          <w14:ligatures w14:val="none"/>
        </w:rPr>
        <w:t>DOI: </w:t>
      </w:r>
      <w:hyperlink r:id="rId20" w:tgtFrame="_blank" w:history="1">
        <w:r w:rsidRPr="0022323F">
          <w:rPr>
            <w:rFonts w:asciiTheme="majorBidi" w:eastAsia="Times New Roman" w:hAnsiTheme="majorBidi" w:cstheme="majorBidi"/>
            <w:color w:val="000000" w:themeColor="text1"/>
            <w:kern w:val="0"/>
            <w:lang w:eastAsia="en-IN"/>
            <w14:ligatures w14:val="none"/>
          </w:rPr>
          <w:t>10.1371/journal.pone.0037396</w:t>
        </w:r>
      </w:hyperlink>
    </w:p>
    <w:p w14:paraId="75522802"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418FD067" w14:textId="4FC07C13" w:rsidR="00C310D7" w:rsidRPr="00891F8F" w:rsidRDefault="00C310D7" w:rsidP="008B35BB">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22323F">
        <w:rPr>
          <w:rFonts w:asciiTheme="majorBidi" w:hAnsiTheme="majorBidi" w:cstheme="majorBidi"/>
          <w:noProof/>
          <w:color w:val="000000" w:themeColor="text1"/>
          <w:kern w:val="0"/>
          <w:lang w:val="en-US"/>
        </w:rPr>
        <w:t xml:space="preserve">Ma Y, Tong X, Liu Y, Liu S, Xiong H, Fan H. ACE gene polymorphism is associated with COPD and COPD with pulmonary hypertension: A meta-analysis. Int J COPD. 2018;13:2435–46. </w:t>
      </w:r>
      <w:r w:rsidRPr="0022323F">
        <w:rPr>
          <w:rFonts w:asciiTheme="majorBidi" w:hAnsiTheme="majorBidi" w:cstheme="majorBidi"/>
          <w:color w:val="000000" w:themeColor="text1"/>
          <w:shd w:val="clear" w:color="auto" w:fill="FFFFFF"/>
        </w:rPr>
        <w:t>doi: </w:t>
      </w:r>
      <w:hyperlink r:id="rId21" w:tgtFrame="_blank" w:history="1">
        <w:r w:rsidRPr="0022323F">
          <w:rPr>
            <w:rStyle w:val="Hyperlink"/>
            <w:rFonts w:asciiTheme="majorBidi" w:hAnsiTheme="majorBidi" w:cstheme="majorBidi"/>
            <w:color w:val="000000" w:themeColor="text1"/>
            <w:u w:val="none"/>
            <w:shd w:val="clear" w:color="auto" w:fill="FFFFFF"/>
          </w:rPr>
          <w:t>10.2147/COPD.S168772</w:t>
        </w:r>
      </w:hyperlink>
    </w:p>
    <w:p w14:paraId="03E4BA75"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70520411" w14:textId="529E6395"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Imaizumi Y, Eguchi K, Kario K. Lung Disease and Hypertension. Pulse. 2014;2(1–4):103–12. </w:t>
      </w:r>
      <w:r w:rsidRPr="0022323F">
        <w:rPr>
          <w:rFonts w:asciiTheme="majorBidi" w:eastAsia="Times New Roman" w:hAnsiTheme="majorBidi" w:cstheme="majorBidi"/>
          <w:color w:val="000000" w:themeColor="text1"/>
          <w:kern w:val="0"/>
          <w:lang w:eastAsia="en-IN"/>
          <w14:ligatures w14:val="none"/>
        </w:rPr>
        <w:t>DOI: </w:t>
      </w:r>
      <w:hyperlink r:id="rId22" w:tgtFrame="_blank" w:history="1">
        <w:r w:rsidRPr="0022323F">
          <w:rPr>
            <w:rFonts w:asciiTheme="majorBidi" w:eastAsia="Times New Roman" w:hAnsiTheme="majorBidi" w:cstheme="majorBidi"/>
            <w:color w:val="000000" w:themeColor="text1"/>
            <w:kern w:val="0"/>
            <w:lang w:eastAsia="en-IN"/>
            <w14:ligatures w14:val="none"/>
          </w:rPr>
          <w:t>10.1159/000381684</w:t>
        </w:r>
      </w:hyperlink>
    </w:p>
    <w:p w14:paraId="59C99363"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37833BA8" w14:textId="716FD3E6" w:rsidR="00C310D7"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Kutumova E, Kovaleva A, Sharipov R, Lifshits G, Kolpakov F. Mathematical modelling of the influence of ACE I/D polymorphism on blood pressure and antihypertensive therapy. Heliyon [Internet]. 2024;10(9):e29988.https://doi.org/10.1016/j.heliyon.2024.e29988</w:t>
      </w:r>
    </w:p>
    <w:p w14:paraId="14244489"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18C9CE4C" w14:textId="1BEC0A18"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lastRenderedPageBreak/>
        <w:t xml:space="preserve">Kon SSC, Jolley CJ, Shrikrishna D, Montgomery HE, Skipworth JRA, Puthucheary Z, et al. ACE and response to pulmonary rehabilitation in COPD: Two observational studies. BMJ Open Respir Res. 2017;4(1):1–6. </w:t>
      </w:r>
      <w:r w:rsidRPr="0022323F">
        <w:rPr>
          <w:rFonts w:asciiTheme="majorBidi" w:eastAsia="Times New Roman" w:hAnsiTheme="majorBidi" w:cstheme="majorBidi"/>
          <w:color w:val="000000" w:themeColor="text1"/>
          <w:kern w:val="0"/>
          <w:lang w:eastAsia="en-IN"/>
          <w14:ligatures w14:val="none"/>
        </w:rPr>
        <w:t>DOI: </w:t>
      </w:r>
      <w:hyperlink r:id="rId23" w:tgtFrame="_blank" w:history="1">
        <w:r w:rsidRPr="0022323F">
          <w:rPr>
            <w:rFonts w:asciiTheme="majorBidi" w:eastAsia="Times New Roman" w:hAnsiTheme="majorBidi" w:cstheme="majorBidi"/>
            <w:color w:val="000000" w:themeColor="text1"/>
            <w:kern w:val="0"/>
            <w:lang w:eastAsia="en-IN"/>
            <w14:ligatures w14:val="none"/>
          </w:rPr>
          <w:t>10.1136/bmjresp-2016-000165</w:t>
        </w:r>
      </w:hyperlink>
    </w:p>
    <w:p w14:paraId="028A73FE"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31DF3894" w14:textId="51A38B25"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Mir MM, Mir R, Alghamdi MAA, Alsayed BA, Wani JI, Alharthi MH, et al. Strong association of angiotensin converting enzyme-2 gene insertion/deletion polymorphism with susceptibility to sars-cov-2, hypertension, coronary artery disease and covid-19 disease mortality. J Pers Med. 2021 Nov 1;11(11).</w:t>
      </w:r>
      <w:r w:rsidRPr="0022323F">
        <w:rPr>
          <w:rFonts w:asciiTheme="majorBidi" w:eastAsia="Times New Roman" w:hAnsiTheme="majorBidi" w:cstheme="majorBidi"/>
          <w:color w:val="000000" w:themeColor="text1"/>
          <w:kern w:val="0"/>
          <w:lang w:eastAsia="en-IN"/>
          <w14:ligatures w14:val="none"/>
        </w:rPr>
        <w:t>doi: 10.3390/jpm11111098.</w:t>
      </w:r>
    </w:p>
    <w:p w14:paraId="3863C8F9"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0827A912" w14:textId="1E14EC3D" w:rsidR="00C310D7" w:rsidRP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Xu G, Fan G, Sun Y, Yu L, Wu S, Niu W. Association of angiotensin-converting enzyme gene I/D polymorphism with chronic obstructive pulmonary disease: a meta-analysis. JRAAS - J Renin-Angiotensin-Aldosterone Syst. 2018;19(2). </w:t>
      </w:r>
      <w:r w:rsidRPr="0022323F">
        <w:rPr>
          <w:rFonts w:asciiTheme="majorBidi" w:eastAsia="Times New Roman" w:hAnsiTheme="majorBidi" w:cstheme="majorBidi"/>
          <w:color w:val="000000" w:themeColor="text1"/>
          <w:kern w:val="0"/>
          <w:lang w:eastAsia="en-IN"/>
          <w14:ligatures w14:val="none"/>
        </w:rPr>
        <w:t>DOI: </w:t>
      </w:r>
      <w:hyperlink r:id="rId24" w:tgtFrame="_blank" w:history="1">
        <w:r w:rsidRPr="0022323F">
          <w:rPr>
            <w:rFonts w:asciiTheme="majorBidi" w:eastAsia="Times New Roman" w:hAnsiTheme="majorBidi" w:cstheme="majorBidi"/>
            <w:color w:val="000000" w:themeColor="text1"/>
            <w:kern w:val="0"/>
            <w:lang w:eastAsia="en-IN"/>
            <w14:ligatures w14:val="none"/>
          </w:rPr>
          <w:t>10.1177/1470320318770546</w:t>
        </w:r>
      </w:hyperlink>
    </w:p>
    <w:p w14:paraId="57DAE107" w14:textId="77777777" w:rsidR="00891F8F" w:rsidRPr="00891F8F" w:rsidRDefault="00891F8F" w:rsidP="008B35BB">
      <w:pPr>
        <w:pStyle w:val="ListParagraph"/>
        <w:jc w:val="both"/>
        <w:rPr>
          <w:rFonts w:asciiTheme="majorBidi" w:hAnsiTheme="majorBidi" w:cstheme="majorBidi"/>
          <w:noProof/>
          <w:color w:val="000000" w:themeColor="text1"/>
          <w:kern w:val="0"/>
          <w:lang w:val="en-US"/>
        </w:rPr>
      </w:pPr>
    </w:p>
    <w:p w14:paraId="70F778D7" w14:textId="77777777" w:rsidR="00891F8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it-IT"/>
        </w:rPr>
      </w:pPr>
      <w:r w:rsidRPr="0022323F">
        <w:rPr>
          <w:rFonts w:asciiTheme="majorBidi" w:hAnsiTheme="majorBidi" w:cstheme="majorBidi"/>
          <w:noProof/>
          <w:color w:val="000000" w:themeColor="text1"/>
          <w:kern w:val="0"/>
          <w:lang w:val="en-US"/>
        </w:rPr>
        <w:t xml:space="preserve">Kehoe PG, Miners S, Love S. Angiotensins in Alzheimer’s disease – friend or foe? </w:t>
      </w:r>
      <w:r w:rsidRPr="0022323F">
        <w:rPr>
          <w:rFonts w:asciiTheme="majorBidi" w:hAnsiTheme="majorBidi" w:cstheme="majorBidi"/>
          <w:noProof/>
          <w:color w:val="000000" w:themeColor="text1"/>
          <w:kern w:val="0"/>
          <w:lang w:val="it-IT"/>
        </w:rPr>
        <w:t xml:space="preserve">Trends Neurosci [Internet]. </w:t>
      </w:r>
      <w:r w:rsidRPr="00750A48">
        <w:rPr>
          <w:rFonts w:asciiTheme="majorBidi" w:hAnsiTheme="majorBidi" w:cstheme="majorBidi"/>
          <w:noProof/>
          <w:color w:val="000000" w:themeColor="text1"/>
          <w:kern w:val="0"/>
          <w:lang w:val="it-IT"/>
        </w:rPr>
        <w:t xml:space="preserve">2009;32(12):619–28. </w:t>
      </w:r>
    </w:p>
    <w:p w14:paraId="6C1576C7" w14:textId="2074741B" w:rsidR="00C310D7" w:rsidRDefault="00DC25BD" w:rsidP="008B35BB">
      <w:pPr>
        <w:pStyle w:val="ListParagraph"/>
        <w:widowControl w:val="0"/>
        <w:autoSpaceDE w:val="0"/>
        <w:autoSpaceDN w:val="0"/>
        <w:adjustRightInd w:val="0"/>
        <w:spacing w:line="240" w:lineRule="auto"/>
        <w:ind w:left="1000"/>
        <w:jc w:val="both"/>
        <w:rPr>
          <w:rStyle w:val="Hyperlink"/>
          <w:rFonts w:asciiTheme="majorBidi" w:hAnsiTheme="majorBidi" w:cstheme="majorBidi"/>
          <w:noProof/>
          <w:color w:val="000000" w:themeColor="text1"/>
          <w:kern w:val="0"/>
          <w:u w:val="none"/>
          <w:lang w:val="it-IT"/>
        </w:rPr>
      </w:pPr>
      <w:hyperlink r:id="rId25" w:history="1">
        <w:r w:rsidR="00C310D7" w:rsidRPr="00750A48">
          <w:rPr>
            <w:rStyle w:val="Hyperlink"/>
            <w:rFonts w:asciiTheme="majorBidi" w:hAnsiTheme="majorBidi" w:cstheme="majorBidi"/>
            <w:noProof/>
            <w:color w:val="000000" w:themeColor="text1"/>
            <w:kern w:val="0"/>
            <w:u w:val="none"/>
            <w:lang w:val="it-IT"/>
          </w:rPr>
          <w:t>https://www.sciencedirect.com/science/article/pii/S016622360900139</w:t>
        </w:r>
        <w:r w:rsidR="00C310D7" w:rsidRPr="0022323F">
          <w:rPr>
            <w:rStyle w:val="Hyperlink"/>
            <w:rFonts w:asciiTheme="majorBidi" w:hAnsiTheme="majorBidi" w:cstheme="majorBidi"/>
            <w:noProof/>
            <w:color w:val="000000" w:themeColor="text1"/>
            <w:kern w:val="0"/>
            <w:u w:val="none"/>
            <w:lang w:val="it-IT"/>
          </w:rPr>
          <w:t>8</w:t>
        </w:r>
      </w:hyperlink>
    </w:p>
    <w:p w14:paraId="2E96F33F" w14:textId="77777777" w:rsidR="00891F8F" w:rsidRPr="00750A48" w:rsidRDefault="00891F8F" w:rsidP="008B35BB">
      <w:pPr>
        <w:pStyle w:val="ListParagraph"/>
        <w:widowControl w:val="0"/>
        <w:autoSpaceDE w:val="0"/>
        <w:autoSpaceDN w:val="0"/>
        <w:adjustRightInd w:val="0"/>
        <w:spacing w:line="240" w:lineRule="auto"/>
        <w:ind w:left="1000"/>
        <w:jc w:val="both"/>
        <w:rPr>
          <w:rFonts w:asciiTheme="majorBidi" w:hAnsiTheme="majorBidi" w:cstheme="majorBidi"/>
          <w:noProof/>
          <w:color w:val="000000" w:themeColor="text1"/>
          <w:kern w:val="0"/>
          <w:lang w:val="it-IT"/>
        </w:rPr>
      </w:pPr>
    </w:p>
    <w:p w14:paraId="554AC87D" w14:textId="09F1B9E2" w:rsidR="00C310D7" w:rsidRPr="008B35BB"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Miao HW, Gong H. Association of ACE insertion or deletion polymorphisms with the risk of coronary restenosis after percutaneous coronary intervention: A meta-analysis. JRAAS - J Renin-Angiotensin-Aldosterone Syst. 2015;16(4):844–50. </w:t>
      </w:r>
      <w:r w:rsidRPr="0022323F">
        <w:rPr>
          <w:rFonts w:asciiTheme="majorBidi" w:eastAsia="Times New Roman" w:hAnsiTheme="majorBidi" w:cstheme="majorBidi"/>
          <w:color w:val="000000" w:themeColor="text1"/>
          <w:kern w:val="0"/>
          <w:lang w:eastAsia="en-IN"/>
          <w14:ligatures w14:val="none"/>
        </w:rPr>
        <w:t>DOI: </w:t>
      </w:r>
      <w:hyperlink r:id="rId26" w:tgtFrame="_blank" w:history="1">
        <w:r w:rsidRPr="0022323F">
          <w:rPr>
            <w:rFonts w:asciiTheme="majorBidi" w:eastAsia="Times New Roman" w:hAnsiTheme="majorBidi" w:cstheme="majorBidi"/>
            <w:color w:val="000000" w:themeColor="text1"/>
            <w:kern w:val="0"/>
            <w:lang w:eastAsia="en-IN"/>
            <w14:ligatures w14:val="none"/>
          </w:rPr>
          <w:t>10.1177/1470320315588233</w:t>
        </w:r>
      </w:hyperlink>
    </w:p>
    <w:p w14:paraId="1974C754" w14:textId="77777777" w:rsidR="008B35BB" w:rsidRPr="0022323F" w:rsidRDefault="008B35BB" w:rsidP="008B35BB">
      <w:pPr>
        <w:pStyle w:val="ListParagraph"/>
        <w:widowControl w:val="0"/>
        <w:autoSpaceDE w:val="0"/>
        <w:autoSpaceDN w:val="0"/>
        <w:adjustRightInd w:val="0"/>
        <w:spacing w:line="240" w:lineRule="auto"/>
        <w:ind w:left="1000"/>
        <w:jc w:val="both"/>
        <w:rPr>
          <w:rFonts w:asciiTheme="majorBidi" w:hAnsiTheme="majorBidi" w:cstheme="majorBidi"/>
          <w:noProof/>
          <w:color w:val="000000" w:themeColor="text1"/>
          <w:kern w:val="0"/>
          <w:lang w:val="en-US"/>
        </w:rPr>
      </w:pPr>
    </w:p>
    <w:p w14:paraId="226F013F" w14:textId="300FAC25" w:rsidR="00C310D7" w:rsidRPr="008B35BB" w:rsidRDefault="00C310D7" w:rsidP="008B35BB">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22323F">
        <w:rPr>
          <w:rFonts w:asciiTheme="majorBidi" w:hAnsiTheme="majorBidi" w:cstheme="majorBidi"/>
          <w:noProof/>
          <w:color w:val="000000" w:themeColor="text1"/>
          <w:kern w:val="0"/>
          <w:lang w:val="en-US"/>
        </w:rPr>
        <w:t xml:space="preserve">Rezaei M, Mohammadpour H, Eftekhari M, Pourabdollah M, Nasr Azadani F, Tabarsi P, et al. The role of angiotensin I converting enzyme insertion/deletion polymorphism in the severity and outcomes of COVID-19 patients. Front Genet. 2022;13(November):1–10. </w:t>
      </w:r>
      <w:hyperlink r:id="rId27" w:history="1">
        <w:r w:rsidRPr="0022323F">
          <w:rPr>
            <w:rStyle w:val="Hyperlink"/>
            <w:rFonts w:asciiTheme="majorBidi" w:hAnsiTheme="majorBidi" w:cstheme="majorBidi"/>
            <w:color w:val="000000" w:themeColor="text1"/>
            <w:u w:val="none"/>
            <w:shd w:val="clear" w:color="auto" w:fill="F7F7F7"/>
          </w:rPr>
          <w:t>https://doi.org/10.3389/fgene.2022.1035796</w:t>
        </w:r>
      </w:hyperlink>
    </w:p>
    <w:p w14:paraId="4D8FDE85"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7BB4196E" w14:textId="77777777" w:rsidR="00C310D7" w:rsidRPr="0022323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Liu M, Yi J, Tang W. Association between angiotensin converting enzyme gene polymorphism and essential hypertension: A systematic review and meta-analysis. JRAAS - J Renin-Angiotensin-Aldosterone Syst. 2021;22(1). </w:t>
      </w:r>
      <w:r w:rsidRPr="0022323F">
        <w:rPr>
          <w:rFonts w:asciiTheme="majorBidi" w:hAnsiTheme="majorBidi" w:cstheme="majorBidi"/>
          <w:color w:val="000000" w:themeColor="text1"/>
          <w:shd w:val="clear" w:color="auto" w:fill="FFFFFF"/>
        </w:rPr>
        <w:t>doi: 10.1177/1470320321995074.</w:t>
      </w:r>
    </w:p>
    <w:p w14:paraId="32D403D2" w14:textId="4402E770" w:rsidR="00C310D7"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Wu X, Li W, Huang G, Luo Z, Chen Y. Increased frequency of angiotensin converting enzyme D allele in Chinese Han patients with idiopathic pulmonary fibrosis: A systematic review and meta-analysis. Med (United States). 2022;101(40):E30942.</w:t>
      </w:r>
      <w:r w:rsidRPr="0022323F">
        <w:rPr>
          <w:rFonts w:asciiTheme="majorBidi" w:hAnsiTheme="majorBidi" w:cstheme="majorBidi"/>
          <w:color w:val="000000" w:themeColor="text1"/>
          <w:shd w:val="clear" w:color="auto" w:fill="FFFFFF"/>
        </w:rPr>
        <w:t>doi: </w:t>
      </w:r>
      <w:hyperlink r:id="rId28" w:tgtFrame="_blank" w:history="1">
        <w:r w:rsidRPr="0022323F">
          <w:rPr>
            <w:rStyle w:val="Hyperlink"/>
            <w:rFonts w:asciiTheme="majorBidi" w:hAnsiTheme="majorBidi" w:cstheme="majorBidi"/>
            <w:color w:val="000000" w:themeColor="text1"/>
            <w:u w:val="none"/>
            <w:shd w:val="clear" w:color="auto" w:fill="FFFFFF"/>
          </w:rPr>
          <w:t>10.1097/MD.0000000000030942</w:t>
        </w:r>
      </w:hyperlink>
      <w:r w:rsidRPr="0022323F">
        <w:rPr>
          <w:rFonts w:asciiTheme="majorBidi" w:hAnsiTheme="majorBidi" w:cstheme="majorBidi"/>
          <w:noProof/>
          <w:color w:val="000000" w:themeColor="text1"/>
          <w:kern w:val="0"/>
          <w:lang w:val="en-US"/>
        </w:rPr>
        <w:t xml:space="preserve"> </w:t>
      </w:r>
    </w:p>
    <w:p w14:paraId="3E758762" w14:textId="77777777" w:rsidR="008B35BB" w:rsidRPr="0022323F" w:rsidRDefault="008B35BB" w:rsidP="008B35BB">
      <w:pPr>
        <w:pStyle w:val="ListParagraph"/>
        <w:widowControl w:val="0"/>
        <w:autoSpaceDE w:val="0"/>
        <w:autoSpaceDN w:val="0"/>
        <w:adjustRightInd w:val="0"/>
        <w:spacing w:line="240" w:lineRule="auto"/>
        <w:ind w:left="1000"/>
        <w:jc w:val="both"/>
        <w:rPr>
          <w:rFonts w:asciiTheme="majorBidi" w:hAnsiTheme="majorBidi" w:cstheme="majorBidi"/>
          <w:noProof/>
          <w:color w:val="000000" w:themeColor="text1"/>
          <w:kern w:val="0"/>
          <w:lang w:val="en-US"/>
        </w:rPr>
      </w:pPr>
    </w:p>
    <w:p w14:paraId="2C4EE708" w14:textId="3DD79052" w:rsidR="00C310D7" w:rsidRPr="008B35BB"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Kang SW, Kim SK, Chung JH, Jung HJ, Kim K Il, Kim J, et al. Genetic Polymorphism of Angiotensin-Converting Enzyme and Chronic Obstructive Pulmonary Disease Risk: An Updated Meta-Analysis. Biomed Res Int. 2016;2016.</w:t>
      </w:r>
      <w:r w:rsidRPr="0022323F">
        <w:rPr>
          <w:rFonts w:asciiTheme="majorBidi" w:eastAsia="Times New Roman" w:hAnsiTheme="majorBidi" w:cstheme="majorBidi"/>
          <w:color w:val="000000" w:themeColor="text1"/>
          <w:kern w:val="0"/>
          <w:lang w:eastAsia="en-IN"/>
          <w14:ligatures w14:val="none"/>
        </w:rPr>
        <w:t>DOI: </w:t>
      </w:r>
      <w:hyperlink r:id="rId29" w:tgtFrame="_blank" w:history="1">
        <w:r w:rsidRPr="0022323F">
          <w:rPr>
            <w:rFonts w:asciiTheme="majorBidi" w:eastAsia="Times New Roman" w:hAnsiTheme="majorBidi" w:cstheme="majorBidi"/>
            <w:color w:val="000000" w:themeColor="text1"/>
            <w:kern w:val="0"/>
            <w:lang w:eastAsia="en-IN"/>
            <w14:ligatures w14:val="none"/>
          </w:rPr>
          <w:t>10.1155/2016/7636123</w:t>
        </w:r>
      </w:hyperlink>
    </w:p>
    <w:p w14:paraId="50DDC69C"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57D37E49" w14:textId="4637D85A" w:rsidR="00C310D7" w:rsidRDefault="00C310D7" w:rsidP="008B35BB">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22323F">
        <w:rPr>
          <w:rFonts w:asciiTheme="majorBidi" w:hAnsiTheme="majorBidi" w:cstheme="majorBidi"/>
          <w:noProof/>
          <w:color w:val="000000" w:themeColor="text1"/>
          <w:kern w:val="0"/>
          <w:lang w:val="en-US"/>
        </w:rPr>
        <w:t xml:space="preserve">Krishnan R, Sekar D, karunanithy S, Subramanium S. Association of angiotensin converting enzyme gene insertion/deletion polymorphism with essential hypertension in south Indian population. Genes Dis [Internet]. 2016;3(2):159–63. </w:t>
      </w:r>
      <w:hyperlink r:id="rId30" w:history="1">
        <w:r w:rsidRPr="0022323F">
          <w:rPr>
            <w:rStyle w:val="Hyperlink"/>
            <w:rFonts w:asciiTheme="majorBidi" w:hAnsiTheme="majorBidi" w:cstheme="majorBidi"/>
            <w:noProof/>
            <w:color w:val="000000" w:themeColor="text1"/>
            <w:kern w:val="0"/>
            <w:u w:val="none"/>
            <w:lang w:val="en-US"/>
          </w:rPr>
          <w:t>http://dx.doi.org/10.1016/j.gendis.2016.03.001</w:t>
        </w:r>
      </w:hyperlink>
    </w:p>
    <w:p w14:paraId="609EF140"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38D702C4" w14:textId="2DD0F0B9" w:rsidR="00C310D7" w:rsidRPr="008B35BB"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 xml:space="preserve">Pinheiro DS, Santos RS, Veiga Jardim PCB, Silva EG, Reis AAS, Pedrino GR, et </w:t>
      </w:r>
      <w:r w:rsidRPr="0022323F">
        <w:rPr>
          <w:rFonts w:asciiTheme="majorBidi" w:hAnsiTheme="majorBidi" w:cstheme="majorBidi"/>
          <w:noProof/>
          <w:color w:val="000000" w:themeColor="text1"/>
          <w:kern w:val="0"/>
          <w:lang w:val="en-US"/>
        </w:rPr>
        <w:lastRenderedPageBreak/>
        <w:t xml:space="preserve">al. The combination of ACE I/D and ACE2 G8790A polymorphisms revels susceptibility to hypertension: A genetic association study in Brazilian patients. PLoS One. 2019 Aug 1;14(8). </w:t>
      </w:r>
      <w:r w:rsidRPr="0022323F">
        <w:rPr>
          <w:rFonts w:asciiTheme="majorBidi" w:eastAsia="Times New Roman" w:hAnsiTheme="majorBidi" w:cstheme="majorBidi"/>
          <w:color w:val="000000" w:themeColor="text1"/>
          <w:kern w:val="0"/>
          <w:lang w:val="en-US" w:eastAsia="en-IN"/>
          <w14:ligatures w14:val="none"/>
        </w:rPr>
        <w:t> DOI: </w:t>
      </w:r>
      <w:hyperlink r:id="rId31" w:tgtFrame="_blank" w:history="1">
        <w:r w:rsidRPr="0022323F">
          <w:rPr>
            <w:rFonts w:asciiTheme="majorBidi" w:eastAsia="Times New Roman" w:hAnsiTheme="majorBidi" w:cstheme="majorBidi"/>
            <w:color w:val="000000" w:themeColor="text1"/>
            <w:kern w:val="0"/>
            <w:lang w:val="en-US" w:eastAsia="en-IN"/>
            <w14:ligatures w14:val="none"/>
          </w:rPr>
          <w:t>10.1371/journal.pone.0221248</w:t>
        </w:r>
      </w:hyperlink>
    </w:p>
    <w:p w14:paraId="45E956EA"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6ED51D0C" w14:textId="32C7516E" w:rsidR="00C310D7" w:rsidRPr="008B35BB"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it-IT"/>
        </w:rPr>
        <w:t xml:space="preserve">Montes-De-oca-garcía A, Perez-Bey A, Velázquez-Díaz D, Corral-Pérez J, Opazo-Díaz E, Rebollo-Ramos M, et al. </w:t>
      </w:r>
      <w:r w:rsidRPr="0022323F">
        <w:rPr>
          <w:rFonts w:asciiTheme="majorBidi" w:hAnsiTheme="majorBidi" w:cstheme="majorBidi"/>
          <w:noProof/>
          <w:color w:val="000000" w:themeColor="text1"/>
          <w:kern w:val="0"/>
          <w:lang w:val="en-US"/>
        </w:rPr>
        <w:t xml:space="preserve">Influence of ace gene I/D polymorphism on cardiometabolic risk, maximal fat oxidation, cardiorespiratory fitness, diet and physical activity in young adults. Int J Environ Res Public Health. 2021;18(7). </w:t>
      </w:r>
      <w:r w:rsidRPr="0022323F">
        <w:rPr>
          <w:rFonts w:asciiTheme="majorBidi" w:eastAsia="Times New Roman" w:hAnsiTheme="majorBidi" w:cstheme="majorBidi"/>
          <w:color w:val="000000" w:themeColor="text1"/>
          <w:kern w:val="0"/>
          <w:lang w:eastAsia="en-IN"/>
          <w14:ligatures w14:val="none"/>
        </w:rPr>
        <w:t>DOI: </w:t>
      </w:r>
      <w:hyperlink r:id="rId32" w:tgtFrame="_blank" w:history="1">
        <w:r w:rsidRPr="0022323F">
          <w:rPr>
            <w:rFonts w:asciiTheme="majorBidi" w:eastAsia="Times New Roman" w:hAnsiTheme="majorBidi" w:cstheme="majorBidi"/>
            <w:color w:val="000000" w:themeColor="text1"/>
            <w:kern w:val="0"/>
            <w:lang w:eastAsia="en-IN"/>
            <w14:ligatures w14:val="none"/>
          </w:rPr>
          <w:t>10.3390/ijerph18073443</w:t>
        </w:r>
      </w:hyperlink>
    </w:p>
    <w:p w14:paraId="40F14459"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1C183DF5" w14:textId="5D3635E0" w:rsidR="00C310D7" w:rsidRPr="008B35BB" w:rsidRDefault="00C310D7" w:rsidP="008B35BB">
      <w:pPr>
        <w:pStyle w:val="ListParagraph"/>
        <w:widowControl w:val="0"/>
        <w:numPr>
          <w:ilvl w:val="0"/>
          <w:numId w:val="6"/>
        </w:numPr>
        <w:autoSpaceDE w:val="0"/>
        <w:autoSpaceDN w:val="0"/>
        <w:adjustRightInd w:val="0"/>
        <w:spacing w:line="240" w:lineRule="auto"/>
        <w:jc w:val="both"/>
        <w:rPr>
          <w:rStyle w:val="Hyperlink"/>
          <w:rFonts w:asciiTheme="majorBidi" w:hAnsiTheme="majorBidi" w:cstheme="majorBidi"/>
          <w:noProof/>
          <w:color w:val="000000" w:themeColor="text1"/>
          <w:kern w:val="0"/>
          <w:u w:val="none"/>
          <w:lang w:val="en-US"/>
        </w:rPr>
      </w:pPr>
      <w:r w:rsidRPr="0022323F">
        <w:rPr>
          <w:rFonts w:asciiTheme="majorBidi" w:hAnsiTheme="majorBidi" w:cstheme="majorBidi"/>
          <w:noProof/>
          <w:color w:val="000000" w:themeColor="text1"/>
          <w:kern w:val="0"/>
          <w:lang w:val="en-US"/>
        </w:rPr>
        <w:t xml:space="preserve">Wang L, Song TT, Dong CW. Association between Interactions among ACE Gene Polymorphisms and Essential Hypertension in Patients in the Hefei Region, Anhui, China. JRAAS - J Renin-Angiotensin-Aldosterone Syst. 2023;2023. </w:t>
      </w:r>
      <w:r w:rsidRPr="0022323F">
        <w:rPr>
          <w:rFonts w:asciiTheme="majorBidi" w:hAnsiTheme="majorBidi" w:cstheme="majorBidi"/>
          <w:color w:val="000000" w:themeColor="text1"/>
          <w:shd w:val="clear" w:color="auto" w:fill="FFFFFF"/>
        </w:rPr>
        <w:t>doi: </w:t>
      </w:r>
      <w:hyperlink r:id="rId33" w:tgtFrame="_blank" w:history="1">
        <w:r w:rsidRPr="0022323F">
          <w:rPr>
            <w:rStyle w:val="Hyperlink"/>
            <w:rFonts w:asciiTheme="majorBidi" w:hAnsiTheme="majorBidi" w:cstheme="majorBidi"/>
            <w:color w:val="000000" w:themeColor="text1"/>
            <w:u w:val="none"/>
            <w:shd w:val="clear" w:color="auto" w:fill="FFFFFF"/>
          </w:rPr>
          <w:t>10.1155/2023/1159973</w:t>
        </w:r>
      </w:hyperlink>
    </w:p>
    <w:p w14:paraId="22F3F892"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12EAF59E" w14:textId="6C542E8B" w:rsidR="00C310D7" w:rsidRPr="008B35BB"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Bhushan S, Xiao Z, Gao K, Mao L, Chen J, Ping W, et al. Role and Interaction Between ACE1, ACE2 and Their Related Genes in Cardiovascular Disorders. Curr Probl Cardiol. 2023;48(8).</w:t>
      </w:r>
      <w:r w:rsidRPr="0022323F">
        <w:rPr>
          <w:rFonts w:asciiTheme="majorBidi" w:eastAsia="Times New Roman" w:hAnsiTheme="majorBidi" w:cstheme="majorBidi"/>
          <w:color w:val="000000" w:themeColor="text1"/>
          <w:kern w:val="0"/>
          <w:lang w:eastAsia="en-IN"/>
          <w14:ligatures w14:val="none"/>
        </w:rPr>
        <w:t>DOI: </w:t>
      </w:r>
      <w:hyperlink r:id="rId34" w:tgtFrame="_blank" w:history="1">
        <w:r w:rsidRPr="0022323F">
          <w:rPr>
            <w:rFonts w:asciiTheme="majorBidi" w:eastAsia="Times New Roman" w:hAnsiTheme="majorBidi" w:cstheme="majorBidi"/>
            <w:color w:val="000000" w:themeColor="text1"/>
            <w:kern w:val="0"/>
            <w:lang w:eastAsia="en-IN"/>
            <w14:ligatures w14:val="none"/>
          </w:rPr>
          <w:t>10.1016/j.cpcardiol.2022.101162</w:t>
        </w:r>
      </w:hyperlink>
    </w:p>
    <w:p w14:paraId="012E8FD5" w14:textId="77777777" w:rsidR="008B35BB" w:rsidRPr="008B35BB" w:rsidRDefault="008B35BB" w:rsidP="008B35BB">
      <w:pPr>
        <w:pStyle w:val="ListParagraph"/>
        <w:jc w:val="both"/>
        <w:rPr>
          <w:rFonts w:asciiTheme="majorBidi" w:hAnsiTheme="majorBidi" w:cstheme="majorBidi"/>
          <w:noProof/>
          <w:color w:val="000000" w:themeColor="text1"/>
          <w:kern w:val="0"/>
          <w:lang w:val="en-US"/>
        </w:rPr>
      </w:pPr>
    </w:p>
    <w:p w14:paraId="6CD619AB" w14:textId="2B52649F" w:rsidR="00C310D7" w:rsidRPr="0022323F" w:rsidRDefault="00C310D7" w:rsidP="008B35BB">
      <w:pPr>
        <w:pStyle w:val="ListParagraph"/>
        <w:widowControl w:val="0"/>
        <w:numPr>
          <w:ilvl w:val="0"/>
          <w:numId w:val="6"/>
        </w:numPr>
        <w:autoSpaceDE w:val="0"/>
        <w:autoSpaceDN w:val="0"/>
        <w:adjustRightInd w:val="0"/>
        <w:spacing w:line="240" w:lineRule="auto"/>
        <w:jc w:val="both"/>
        <w:rPr>
          <w:rFonts w:asciiTheme="majorBidi" w:hAnsiTheme="majorBidi" w:cstheme="majorBidi"/>
          <w:noProof/>
          <w:color w:val="000000" w:themeColor="text1"/>
          <w:kern w:val="0"/>
          <w:lang w:val="en-US"/>
        </w:rPr>
      </w:pPr>
      <w:r w:rsidRPr="0022323F">
        <w:rPr>
          <w:rFonts w:asciiTheme="majorBidi" w:hAnsiTheme="majorBidi" w:cstheme="majorBidi"/>
          <w:noProof/>
          <w:color w:val="000000" w:themeColor="text1"/>
          <w:kern w:val="0"/>
          <w:lang w:val="en-US"/>
        </w:rPr>
        <w:t>Kanazawa H, Otsuka T, Hirata K, Yoshikawa J. Association Between the Angiotensin-Converting Enzyme Gene Polymorphisms and Tissue Oxygenation During Exercise in Patients With COPD. Chest [Internet]. 2002 Mar 1;121(3):697–701.https://doi.org/10.1378/chest.121.3.697</w:t>
      </w:r>
    </w:p>
    <w:p w14:paraId="3BC77321" w14:textId="6336EF23" w:rsidR="00AC7503" w:rsidRPr="0022323F" w:rsidRDefault="00AC7503" w:rsidP="008B35BB">
      <w:pPr>
        <w:widowControl w:val="0"/>
        <w:autoSpaceDE w:val="0"/>
        <w:autoSpaceDN w:val="0"/>
        <w:adjustRightInd w:val="0"/>
        <w:spacing w:line="240" w:lineRule="auto"/>
        <w:ind w:left="640" w:hanging="640"/>
        <w:jc w:val="both"/>
        <w:rPr>
          <w:rFonts w:asciiTheme="majorBidi" w:hAnsiTheme="majorBidi" w:cstheme="majorBidi"/>
          <w:color w:val="000000" w:themeColor="text1"/>
          <w:lang w:val="en-US"/>
        </w:rPr>
      </w:pPr>
    </w:p>
    <w:sectPr w:rsidR="00AC7503" w:rsidRPr="002232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1F796" w14:textId="77777777" w:rsidR="00DC25BD" w:rsidRDefault="00DC25BD" w:rsidP="002268C7">
      <w:pPr>
        <w:spacing w:after="0" w:line="240" w:lineRule="auto"/>
      </w:pPr>
      <w:r>
        <w:separator/>
      </w:r>
    </w:p>
  </w:endnote>
  <w:endnote w:type="continuationSeparator" w:id="0">
    <w:p w14:paraId="656328DD" w14:textId="77777777" w:rsidR="00DC25BD" w:rsidRDefault="00DC25BD" w:rsidP="0022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F6E7C" w14:textId="77777777" w:rsidR="00DC25BD" w:rsidRDefault="00DC25BD" w:rsidP="002268C7">
      <w:pPr>
        <w:spacing w:after="0" w:line="240" w:lineRule="auto"/>
      </w:pPr>
      <w:r>
        <w:separator/>
      </w:r>
    </w:p>
  </w:footnote>
  <w:footnote w:type="continuationSeparator" w:id="0">
    <w:p w14:paraId="517E54BE" w14:textId="77777777" w:rsidR="00DC25BD" w:rsidRDefault="00DC25BD" w:rsidP="002268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2DA4"/>
    <w:multiLevelType w:val="multilevel"/>
    <w:tmpl w:val="7150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77112"/>
    <w:multiLevelType w:val="hybridMultilevel"/>
    <w:tmpl w:val="28BC0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2E36CD2"/>
    <w:multiLevelType w:val="hybridMultilevel"/>
    <w:tmpl w:val="092EA2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A0C1490"/>
    <w:multiLevelType w:val="multilevel"/>
    <w:tmpl w:val="01AA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CA5DB4"/>
    <w:multiLevelType w:val="multilevel"/>
    <w:tmpl w:val="0A62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D5F3F"/>
    <w:multiLevelType w:val="hybridMultilevel"/>
    <w:tmpl w:val="FD2C3B7C"/>
    <w:lvl w:ilvl="0" w:tplc="164228C8">
      <w:start w:val="1"/>
      <w:numFmt w:val="decimal"/>
      <w:lvlText w:val="%1."/>
      <w:lvlJc w:val="left"/>
      <w:pPr>
        <w:ind w:left="1000" w:hanging="6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QyszAyMTC3MDG1MDBU0lEKTi0uzszPAykwsqgFAPYsaf0tAAAA"/>
  </w:docVars>
  <w:rsids>
    <w:rsidRoot w:val="00AC7503"/>
    <w:rsid w:val="0000299D"/>
    <w:rsid w:val="00013209"/>
    <w:rsid w:val="000241CE"/>
    <w:rsid w:val="00034B46"/>
    <w:rsid w:val="000425C1"/>
    <w:rsid w:val="00043A24"/>
    <w:rsid w:val="00043FA4"/>
    <w:rsid w:val="00045E78"/>
    <w:rsid w:val="00054694"/>
    <w:rsid w:val="000558C5"/>
    <w:rsid w:val="000651B8"/>
    <w:rsid w:val="00065FEE"/>
    <w:rsid w:val="00075A07"/>
    <w:rsid w:val="00081201"/>
    <w:rsid w:val="00082E5A"/>
    <w:rsid w:val="00084B00"/>
    <w:rsid w:val="00090704"/>
    <w:rsid w:val="00091063"/>
    <w:rsid w:val="00097999"/>
    <w:rsid w:val="000B3183"/>
    <w:rsid w:val="000C7C21"/>
    <w:rsid w:val="000D77FE"/>
    <w:rsid w:val="000E6FFF"/>
    <w:rsid w:val="000E7AD1"/>
    <w:rsid w:val="000F4A15"/>
    <w:rsid w:val="0010281A"/>
    <w:rsid w:val="0011244A"/>
    <w:rsid w:val="00123144"/>
    <w:rsid w:val="00123C7D"/>
    <w:rsid w:val="001375D2"/>
    <w:rsid w:val="00160CCB"/>
    <w:rsid w:val="00170FA4"/>
    <w:rsid w:val="00176031"/>
    <w:rsid w:val="001927E7"/>
    <w:rsid w:val="00195EB8"/>
    <w:rsid w:val="001C15A3"/>
    <w:rsid w:val="001C1F3D"/>
    <w:rsid w:val="001C40FD"/>
    <w:rsid w:val="001D48F8"/>
    <w:rsid w:val="001D5751"/>
    <w:rsid w:val="001F279D"/>
    <w:rsid w:val="002135E5"/>
    <w:rsid w:val="002157BE"/>
    <w:rsid w:val="00216217"/>
    <w:rsid w:val="00217C13"/>
    <w:rsid w:val="0022044A"/>
    <w:rsid w:val="002216F1"/>
    <w:rsid w:val="0022323F"/>
    <w:rsid w:val="002268C7"/>
    <w:rsid w:val="002302DD"/>
    <w:rsid w:val="00240042"/>
    <w:rsid w:val="00243B05"/>
    <w:rsid w:val="00246079"/>
    <w:rsid w:val="00246C2F"/>
    <w:rsid w:val="00246DBA"/>
    <w:rsid w:val="00253978"/>
    <w:rsid w:val="00256232"/>
    <w:rsid w:val="00265111"/>
    <w:rsid w:val="0026794A"/>
    <w:rsid w:val="00272490"/>
    <w:rsid w:val="00273EEE"/>
    <w:rsid w:val="002768D8"/>
    <w:rsid w:val="00287885"/>
    <w:rsid w:val="00291AA5"/>
    <w:rsid w:val="002A2471"/>
    <w:rsid w:val="002B0EA4"/>
    <w:rsid w:val="002B5303"/>
    <w:rsid w:val="002B689F"/>
    <w:rsid w:val="002B6DA1"/>
    <w:rsid w:val="002C20A1"/>
    <w:rsid w:val="002E0AFA"/>
    <w:rsid w:val="002E38DA"/>
    <w:rsid w:val="002E41F7"/>
    <w:rsid w:val="002E566B"/>
    <w:rsid w:val="002E61B3"/>
    <w:rsid w:val="00300FAC"/>
    <w:rsid w:val="00302DA3"/>
    <w:rsid w:val="003032C5"/>
    <w:rsid w:val="00303540"/>
    <w:rsid w:val="00310D24"/>
    <w:rsid w:val="00312CF9"/>
    <w:rsid w:val="00313056"/>
    <w:rsid w:val="0032076A"/>
    <w:rsid w:val="00321504"/>
    <w:rsid w:val="003216B9"/>
    <w:rsid w:val="00324560"/>
    <w:rsid w:val="00330DD3"/>
    <w:rsid w:val="003314B7"/>
    <w:rsid w:val="0033461B"/>
    <w:rsid w:val="00337A93"/>
    <w:rsid w:val="00340BC7"/>
    <w:rsid w:val="00346BF5"/>
    <w:rsid w:val="00356085"/>
    <w:rsid w:val="00366D9F"/>
    <w:rsid w:val="00382513"/>
    <w:rsid w:val="00385E27"/>
    <w:rsid w:val="003A2FCD"/>
    <w:rsid w:val="003B0AAD"/>
    <w:rsid w:val="003B7AB9"/>
    <w:rsid w:val="003B7C8D"/>
    <w:rsid w:val="003C0F97"/>
    <w:rsid w:val="003C66DB"/>
    <w:rsid w:val="003C6EB6"/>
    <w:rsid w:val="003E4B7D"/>
    <w:rsid w:val="00400434"/>
    <w:rsid w:val="00411452"/>
    <w:rsid w:val="0042722F"/>
    <w:rsid w:val="004446FF"/>
    <w:rsid w:val="00445B8D"/>
    <w:rsid w:val="00445DC6"/>
    <w:rsid w:val="00450872"/>
    <w:rsid w:val="004515AF"/>
    <w:rsid w:val="0045225B"/>
    <w:rsid w:val="00455C7E"/>
    <w:rsid w:val="00467665"/>
    <w:rsid w:val="00472EB9"/>
    <w:rsid w:val="0047462B"/>
    <w:rsid w:val="004760CD"/>
    <w:rsid w:val="00476F22"/>
    <w:rsid w:val="00476F86"/>
    <w:rsid w:val="004834BA"/>
    <w:rsid w:val="0048573B"/>
    <w:rsid w:val="004942DB"/>
    <w:rsid w:val="004B06EA"/>
    <w:rsid w:val="004B3503"/>
    <w:rsid w:val="004C3B59"/>
    <w:rsid w:val="004C53E2"/>
    <w:rsid w:val="004C6D4D"/>
    <w:rsid w:val="004C79F9"/>
    <w:rsid w:val="004D07BE"/>
    <w:rsid w:val="004D3112"/>
    <w:rsid w:val="004D5241"/>
    <w:rsid w:val="004D6099"/>
    <w:rsid w:val="004D68C4"/>
    <w:rsid w:val="004D70B5"/>
    <w:rsid w:val="004D72C1"/>
    <w:rsid w:val="004D77FE"/>
    <w:rsid w:val="004F0EB8"/>
    <w:rsid w:val="004F1A30"/>
    <w:rsid w:val="00502D9E"/>
    <w:rsid w:val="00506675"/>
    <w:rsid w:val="00507D90"/>
    <w:rsid w:val="005100EB"/>
    <w:rsid w:val="00511FE1"/>
    <w:rsid w:val="005124EB"/>
    <w:rsid w:val="005168B7"/>
    <w:rsid w:val="00525B45"/>
    <w:rsid w:val="00526592"/>
    <w:rsid w:val="00532971"/>
    <w:rsid w:val="005353CF"/>
    <w:rsid w:val="00537093"/>
    <w:rsid w:val="00544C7D"/>
    <w:rsid w:val="00544E9F"/>
    <w:rsid w:val="00545C7A"/>
    <w:rsid w:val="005464BF"/>
    <w:rsid w:val="00551971"/>
    <w:rsid w:val="0055327C"/>
    <w:rsid w:val="00555F27"/>
    <w:rsid w:val="0056011B"/>
    <w:rsid w:val="00563B6A"/>
    <w:rsid w:val="005733A8"/>
    <w:rsid w:val="00583315"/>
    <w:rsid w:val="005839AD"/>
    <w:rsid w:val="005862A2"/>
    <w:rsid w:val="00587D5E"/>
    <w:rsid w:val="0059221A"/>
    <w:rsid w:val="00597FFA"/>
    <w:rsid w:val="005A29C5"/>
    <w:rsid w:val="005B1DE2"/>
    <w:rsid w:val="005B77A8"/>
    <w:rsid w:val="005C6083"/>
    <w:rsid w:val="005C6927"/>
    <w:rsid w:val="005C7C36"/>
    <w:rsid w:val="005D7BDA"/>
    <w:rsid w:val="005D7CE1"/>
    <w:rsid w:val="005E2E4F"/>
    <w:rsid w:val="005F188A"/>
    <w:rsid w:val="005F70A5"/>
    <w:rsid w:val="005F7DC0"/>
    <w:rsid w:val="00604692"/>
    <w:rsid w:val="00610F80"/>
    <w:rsid w:val="0062212F"/>
    <w:rsid w:val="006248CC"/>
    <w:rsid w:val="0062492A"/>
    <w:rsid w:val="00631917"/>
    <w:rsid w:val="00634E9B"/>
    <w:rsid w:val="00636816"/>
    <w:rsid w:val="0064079E"/>
    <w:rsid w:val="006545C8"/>
    <w:rsid w:val="006607D9"/>
    <w:rsid w:val="00661999"/>
    <w:rsid w:val="006712D6"/>
    <w:rsid w:val="00674E6F"/>
    <w:rsid w:val="00682763"/>
    <w:rsid w:val="00682816"/>
    <w:rsid w:val="006834E7"/>
    <w:rsid w:val="00686E96"/>
    <w:rsid w:val="00690677"/>
    <w:rsid w:val="006B23B8"/>
    <w:rsid w:val="006C3FEE"/>
    <w:rsid w:val="006D46B0"/>
    <w:rsid w:val="006D6B13"/>
    <w:rsid w:val="006E42D0"/>
    <w:rsid w:val="006E6387"/>
    <w:rsid w:val="006E7223"/>
    <w:rsid w:val="006F177D"/>
    <w:rsid w:val="006F1DA2"/>
    <w:rsid w:val="00700D05"/>
    <w:rsid w:val="00703742"/>
    <w:rsid w:val="00707DFF"/>
    <w:rsid w:val="00712B4D"/>
    <w:rsid w:val="00730911"/>
    <w:rsid w:val="007437DA"/>
    <w:rsid w:val="00746447"/>
    <w:rsid w:val="00750A48"/>
    <w:rsid w:val="00754A8D"/>
    <w:rsid w:val="0075605A"/>
    <w:rsid w:val="007621C8"/>
    <w:rsid w:val="00766DA1"/>
    <w:rsid w:val="007816B7"/>
    <w:rsid w:val="00781F74"/>
    <w:rsid w:val="00790DE5"/>
    <w:rsid w:val="007B1FA2"/>
    <w:rsid w:val="007C040D"/>
    <w:rsid w:val="007C2B44"/>
    <w:rsid w:val="007C6442"/>
    <w:rsid w:val="007D12AC"/>
    <w:rsid w:val="007E09BE"/>
    <w:rsid w:val="007E0B33"/>
    <w:rsid w:val="007E2728"/>
    <w:rsid w:val="007F4953"/>
    <w:rsid w:val="007F51D0"/>
    <w:rsid w:val="0080241E"/>
    <w:rsid w:val="00813B8C"/>
    <w:rsid w:val="008144F1"/>
    <w:rsid w:val="00815F59"/>
    <w:rsid w:val="00822C43"/>
    <w:rsid w:val="0082481C"/>
    <w:rsid w:val="00826BC6"/>
    <w:rsid w:val="00827010"/>
    <w:rsid w:val="00834F36"/>
    <w:rsid w:val="008477BD"/>
    <w:rsid w:val="0085518A"/>
    <w:rsid w:val="00863428"/>
    <w:rsid w:val="00863593"/>
    <w:rsid w:val="00867A6C"/>
    <w:rsid w:val="0087139F"/>
    <w:rsid w:val="008713F6"/>
    <w:rsid w:val="008734EC"/>
    <w:rsid w:val="00881719"/>
    <w:rsid w:val="00882AA2"/>
    <w:rsid w:val="00887A80"/>
    <w:rsid w:val="00890DBE"/>
    <w:rsid w:val="00891F8F"/>
    <w:rsid w:val="0089221F"/>
    <w:rsid w:val="008A3765"/>
    <w:rsid w:val="008A49CE"/>
    <w:rsid w:val="008A5CBE"/>
    <w:rsid w:val="008B0493"/>
    <w:rsid w:val="008B1926"/>
    <w:rsid w:val="008B35BB"/>
    <w:rsid w:val="008B58EA"/>
    <w:rsid w:val="008B5EBB"/>
    <w:rsid w:val="008B6D1C"/>
    <w:rsid w:val="008C0374"/>
    <w:rsid w:val="008D3E91"/>
    <w:rsid w:val="008E464A"/>
    <w:rsid w:val="008F44CA"/>
    <w:rsid w:val="008F79F9"/>
    <w:rsid w:val="00907AEE"/>
    <w:rsid w:val="009109F1"/>
    <w:rsid w:val="00921158"/>
    <w:rsid w:val="009238FF"/>
    <w:rsid w:val="00923E20"/>
    <w:rsid w:val="009311F3"/>
    <w:rsid w:val="00947FD5"/>
    <w:rsid w:val="00953682"/>
    <w:rsid w:val="00953FC3"/>
    <w:rsid w:val="0096477B"/>
    <w:rsid w:val="00973807"/>
    <w:rsid w:val="00974541"/>
    <w:rsid w:val="009846EE"/>
    <w:rsid w:val="009859C8"/>
    <w:rsid w:val="009A44FD"/>
    <w:rsid w:val="009B54E9"/>
    <w:rsid w:val="009B7D97"/>
    <w:rsid w:val="009C02D8"/>
    <w:rsid w:val="009C03A0"/>
    <w:rsid w:val="009C3BD1"/>
    <w:rsid w:val="009D24C4"/>
    <w:rsid w:val="009D6E69"/>
    <w:rsid w:val="009E1D92"/>
    <w:rsid w:val="009E36CD"/>
    <w:rsid w:val="009E551D"/>
    <w:rsid w:val="009F545F"/>
    <w:rsid w:val="00A106AB"/>
    <w:rsid w:val="00A2232A"/>
    <w:rsid w:val="00A3639A"/>
    <w:rsid w:val="00A37B99"/>
    <w:rsid w:val="00A42C3D"/>
    <w:rsid w:val="00A42EA9"/>
    <w:rsid w:val="00A47B7D"/>
    <w:rsid w:val="00A54D20"/>
    <w:rsid w:val="00A57A63"/>
    <w:rsid w:val="00A67233"/>
    <w:rsid w:val="00A80FB9"/>
    <w:rsid w:val="00A83EA2"/>
    <w:rsid w:val="00A8433A"/>
    <w:rsid w:val="00A908E0"/>
    <w:rsid w:val="00A93C63"/>
    <w:rsid w:val="00AC05DC"/>
    <w:rsid w:val="00AC4ADD"/>
    <w:rsid w:val="00AC4F6B"/>
    <w:rsid w:val="00AC7503"/>
    <w:rsid w:val="00AD1DE4"/>
    <w:rsid w:val="00AD34BD"/>
    <w:rsid w:val="00AD53ED"/>
    <w:rsid w:val="00AD61F1"/>
    <w:rsid w:val="00AD6E15"/>
    <w:rsid w:val="00AF26F4"/>
    <w:rsid w:val="00AF2A96"/>
    <w:rsid w:val="00B200D8"/>
    <w:rsid w:val="00B26DFE"/>
    <w:rsid w:val="00B4136E"/>
    <w:rsid w:val="00B41FA4"/>
    <w:rsid w:val="00B43B90"/>
    <w:rsid w:val="00B46254"/>
    <w:rsid w:val="00B501D9"/>
    <w:rsid w:val="00B6291F"/>
    <w:rsid w:val="00B76C56"/>
    <w:rsid w:val="00B80CA3"/>
    <w:rsid w:val="00B84DE2"/>
    <w:rsid w:val="00B8561F"/>
    <w:rsid w:val="00B957F4"/>
    <w:rsid w:val="00BA57BA"/>
    <w:rsid w:val="00BA599D"/>
    <w:rsid w:val="00BD24E1"/>
    <w:rsid w:val="00BE4D39"/>
    <w:rsid w:val="00BE72FF"/>
    <w:rsid w:val="00BF659E"/>
    <w:rsid w:val="00BF7EBC"/>
    <w:rsid w:val="00C06CEF"/>
    <w:rsid w:val="00C07A57"/>
    <w:rsid w:val="00C1189E"/>
    <w:rsid w:val="00C26622"/>
    <w:rsid w:val="00C310D7"/>
    <w:rsid w:val="00C358E2"/>
    <w:rsid w:val="00C412FA"/>
    <w:rsid w:val="00C467B8"/>
    <w:rsid w:val="00C47C4E"/>
    <w:rsid w:val="00C52922"/>
    <w:rsid w:val="00C5497B"/>
    <w:rsid w:val="00C54A53"/>
    <w:rsid w:val="00C57DD1"/>
    <w:rsid w:val="00C6003E"/>
    <w:rsid w:val="00C61E72"/>
    <w:rsid w:val="00C6378D"/>
    <w:rsid w:val="00C65CBF"/>
    <w:rsid w:val="00C7335E"/>
    <w:rsid w:val="00C758B8"/>
    <w:rsid w:val="00C8104C"/>
    <w:rsid w:val="00C973EC"/>
    <w:rsid w:val="00C97B21"/>
    <w:rsid w:val="00CA42CA"/>
    <w:rsid w:val="00CC3CC9"/>
    <w:rsid w:val="00CC539F"/>
    <w:rsid w:val="00CC6B5F"/>
    <w:rsid w:val="00CD168E"/>
    <w:rsid w:val="00CD1F84"/>
    <w:rsid w:val="00CE01A9"/>
    <w:rsid w:val="00CE224C"/>
    <w:rsid w:val="00CE4A26"/>
    <w:rsid w:val="00CE7524"/>
    <w:rsid w:val="00D00828"/>
    <w:rsid w:val="00D10668"/>
    <w:rsid w:val="00D11E45"/>
    <w:rsid w:val="00D22F2D"/>
    <w:rsid w:val="00D375E8"/>
    <w:rsid w:val="00D44A4F"/>
    <w:rsid w:val="00D465EA"/>
    <w:rsid w:val="00D559C2"/>
    <w:rsid w:val="00D60600"/>
    <w:rsid w:val="00D62CB8"/>
    <w:rsid w:val="00D6590B"/>
    <w:rsid w:val="00D667AD"/>
    <w:rsid w:val="00D67AEF"/>
    <w:rsid w:val="00D7614A"/>
    <w:rsid w:val="00D84900"/>
    <w:rsid w:val="00D93842"/>
    <w:rsid w:val="00D93DE0"/>
    <w:rsid w:val="00D945D0"/>
    <w:rsid w:val="00DB1EAC"/>
    <w:rsid w:val="00DB206A"/>
    <w:rsid w:val="00DB62C6"/>
    <w:rsid w:val="00DC029C"/>
    <w:rsid w:val="00DC25BD"/>
    <w:rsid w:val="00DC6044"/>
    <w:rsid w:val="00DE0F11"/>
    <w:rsid w:val="00DE1C4F"/>
    <w:rsid w:val="00DE32F4"/>
    <w:rsid w:val="00E04EEF"/>
    <w:rsid w:val="00E1267A"/>
    <w:rsid w:val="00E12A02"/>
    <w:rsid w:val="00E1377C"/>
    <w:rsid w:val="00E14ECC"/>
    <w:rsid w:val="00E153AA"/>
    <w:rsid w:val="00E24E83"/>
    <w:rsid w:val="00E3081E"/>
    <w:rsid w:val="00E33626"/>
    <w:rsid w:val="00E45174"/>
    <w:rsid w:val="00E45A3B"/>
    <w:rsid w:val="00E5012F"/>
    <w:rsid w:val="00E513CE"/>
    <w:rsid w:val="00E54309"/>
    <w:rsid w:val="00E57A73"/>
    <w:rsid w:val="00E61DF7"/>
    <w:rsid w:val="00E63404"/>
    <w:rsid w:val="00E65527"/>
    <w:rsid w:val="00E672BD"/>
    <w:rsid w:val="00E85A01"/>
    <w:rsid w:val="00E9018C"/>
    <w:rsid w:val="00E94476"/>
    <w:rsid w:val="00E96A25"/>
    <w:rsid w:val="00E974B6"/>
    <w:rsid w:val="00EB1321"/>
    <w:rsid w:val="00EB1760"/>
    <w:rsid w:val="00EC1CF2"/>
    <w:rsid w:val="00EC1ED5"/>
    <w:rsid w:val="00ED2C29"/>
    <w:rsid w:val="00ED403B"/>
    <w:rsid w:val="00ED57F9"/>
    <w:rsid w:val="00EE144E"/>
    <w:rsid w:val="00EE1748"/>
    <w:rsid w:val="00F003D2"/>
    <w:rsid w:val="00F145F0"/>
    <w:rsid w:val="00F167FC"/>
    <w:rsid w:val="00F21684"/>
    <w:rsid w:val="00F30A5C"/>
    <w:rsid w:val="00F31ACB"/>
    <w:rsid w:val="00F32B40"/>
    <w:rsid w:val="00F33AD2"/>
    <w:rsid w:val="00F34555"/>
    <w:rsid w:val="00F52262"/>
    <w:rsid w:val="00F70B33"/>
    <w:rsid w:val="00F74FD7"/>
    <w:rsid w:val="00F936E7"/>
    <w:rsid w:val="00F9660F"/>
    <w:rsid w:val="00FA3C29"/>
    <w:rsid w:val="00FA4811"/>
    <w:rsid w:val="00FA4AD9"/>
    <w:rsid w:val="00FB378C"/>
    <w:rsid w:val="00FB5B09"/>
    <w:rsid w:val="00FC1A06"/>
    <w:rsid w:val="00FD0897"/>
    <w:rsid w:val="00FD30B5"/>
    <w:rsid w:val="00FE0460"/>
    <w:rsid w:val="00FF4F5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118735"/>
  <w15:chartTrackingRefBased/>
  <w15:docId w15:val="{8AA98DD8-D56A-4819-8A98-42FC72D9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0FD"/>
  </w:style>
  <w:style w:type="paragraph" w:styleId="Heading1">
    <w:name w:val="heading 1"/>
    <w:basedOn w:val="Normal"/>
    <w:next w:val="Normal"/>
    <w:link w:val="Heading1Char"/>
    <w:uiPriority w:val="9"/>
    <w:qFormat/>
    <w:rsid w:val="00AC75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75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75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75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75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7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5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75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75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75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75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7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503"/>
    <w:rPr>
      <w:rFonts w:eastAsiaTheme="majorEastAsia" w:cstheme="majorBidi"/>
      <w:color w:val="272727" w:themeColor="text1" w:themeTint="D8"/>
    </w:rPr>
  </w:style>
  <w:style w:type="paragraph" w:styleId="Title">
    <w:name w:val="Title"/>
    <w:basedOn w:val="Normal"/>
    <w:next w:val="Normal"/>
    <w:link w:val="TitleChar"/>
    <w:uiPriority w:val="10"/>
    <w:qFormat/>
    <w:rsid w:val="00AC7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503"/>
    <w:pPr>
      <w:spacing w:before="160"/>
      <w:jc w:val="center"/>
    </w:pPr>
    <w:rPr>
      <w:i/>
      <w:iCs/>
      <w:color w:val="404040" w:themeColor="text1" w:themeTint="BF"/>
    </w:rPr>
  </w:style>
  <w:style w:type="character" w:customStyle="1" w:styleId="QuoteChar">
    <w:name w:val="Quote Char"/>
    <w:basedOn w:val="DefaultParagraphFont"/>
    <w:link w:val="Quote"/>
    <w:uiPriority w:val="29"/>
    <w:rsid w:val="00AC7503"/>
    <w:rPr>
      <w:i/>
      <w:iCs/>
      <w:color w:val="404040" w:themeColor="text1" w:themeTint="BF"/>
    </w:rPr>
  </w:style>
  <w:style w:type="paragraph" w:styleId="ListParagraph">
    <w:name w:val="List Paragraph"/>
    <w:basedOn w:val="Normal"/>
    <w:uiPriority w:val="34"/>
    <w:qFormat/>
    <w:rsid w:val="00AC7503"/>
    <w:pPr>
      <w:ind w:left="720"/>
      <w:contextualSpacing/>
    </w:pPr>
  </w:style>
  <w:style w:type="character" w:styleId="IntenseEmphasis">
    <w:name w:val="Intense Emphasis"/>
    <w:basedOn w:val="DefaultParagraphFont"/>
    <w:uiPriority w:val="21"/>
    <w:qFormat/>
    <w:rsid w:val="00AC7503"/>
    <w:rPr>
      <w:i/>
      <w:iCs/>
      <w:color w:val="2F5496" w:themeColor="accent1" w:themeShade="BF"/>
    </w:rPr>
  </w:style>
  <w:style w:type="paragraph" w:styleId="IntenseQuote">
    <w:name w:val="Intense Quote"/>
    <w:basedOn w:val="Normal"/>
    <w:next w:val="Normal"/>
    <w:link w:val="IntenseQuoteChar"/>
    <w:uiPriority w:val="30"/>
    <w:qFormat/>
    <w:rsid w:val="00AC75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7503"/>
    <w:rPr>
      <w:i/>
      <w:iCs/>
      <w:color w:val="2F5496" w:themeColor="accent1" w:themeShade="BF"/>
    </w:rPr>
  </w:style>
  <w:style w:type="character" w:styleId="IntenseReference">
    <w:name w:val="Intense Reference"/>
    <w:basedOn w:val="DefaultParagraphFont"/>
    <w:uiPriority w:val="32"/>
    <w:qFormat/>
    <w:rsid w:val="00AC7503"/>
    <w:rPr>
      <w:b/>
      <w:bCs/>
      <w:smallCaps/>
      <w:color w:val="2F5496" w:themeColor="accent1" w:themeShade="BF"/>
      <w:spacing w:val="5"/>
    </w:rPr>
  </w:style>
  <w:style w:type="character" w:customStyle="1" w:styleId="oxzekf">
    <w:name w:val="oxzekf"/>
    <w:basedOn w:val="DefaultParagraphFont"/>
    <w:rsid w:val="001C40FD"/>
  </w:style>
  <w:style w:type="paragraph" w:styleId="Header">
    <w:name w:val="header"/>
    <w:basedOn w:val="Normal"/>
    <w:link w:val="HeaderChar"/>
    <w:uiPriority w:val="99"/>
    <w:unhideWhenUsed/>
    <w:rsid w:val="0022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8C7"/>
  </w:style>
  <w:style w:type="paragraph" w:styleId="Footer">
    <w:name w:val="footer"/>
    <w:basedOn w:val="Normal"/>
    <w:link w:val="FooterChar"/>
    <w:uiPriority w:val="99"/>
    <w:unhideWhenUsed/>
    <w:rsid w:val="0022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8C7"/>
  </w:style>
  <w:style w:type="paragraph" w:styleId="NormalWeb">
    <w:name w:val="Normal (Web)"/>
    <w:basedOn w:val="Normal"/>
    <w:uiPriority w:val="99"/>
    <w:unhideWhenUsed/>
    <w:rsid w:val="006E6387"/>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Hyperlink">
    <w:name w:val="Hyperlink"/>
    <w:basedOn w:val="DefaultParagraphFont"/>
    <w:uiPriority w:val="99"/>
    <w:unhideWhenUsed/>
    <w:rsid w:val="00636816"/>
    <w:rPr>
      <w:color w:val="0563C1" w:themeColor="hyperlink"/>
      <w:u w:val="single"/>
    </w:rPr>
  </w:style>
  <w:style w:type="character" w:customStyle="1" w:styleId="UnresolvedMention">
    <w:name w:val="Unresolved Mention"/>
    <w:basedOn w:val="DefaultParagraphFont"/>
    <w:uiPriority w:val="99"/>
    <w:semiHidden/>
    <w:unhideWhenUsed/>
    <w:rsid w:val="00636816"/>
    <w:rPr>
      <w:color w:val="605E5C"/>
      <w:shd w:val="clear" w:color="auto" w:fill="E1DFDD"/>
    </w:rPr>
  </w:style>
  <w:style w:type="paragraph" w:styleId="Revision">
    <w:name w:val="Revision"/>
    <w:hidden/>
    <w:uiPriority w:val="99"/>
    <w:semiHidden/>
    <w:rsid w:val="005D7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873/invivo.12672" TargetMode="External"/><Relationship Id="rId18" Type="http://schemas.openxmlformats.org/officeDocument/2006/relationships/hyperlink" Target="https://doi.org/10.5114/aoms.2015.50757" TargetMode="External"/><Relationship Id="rId26" Type="http://schemas.openxmlformats.org/officeDocument/2006/relationships/hyperlink" Target="https://doi.org/10.1177/1470320315588233" TargetMode="External"/><Relationship Id="rId3" Type="http://schemas.openxmlformats.org/officeDocument/2006/relationships/styles" Target="styles.xml"/><Relationship Id="rId21" Type="http://schemas.openxmlformats.org/officeDocument/2006/relationships/hyperlink" Target="https://doi.org/10.2147/COPD.S168772" TargetMode="External"/><Relationship Id="rId34" Type="http://schemas.openxmlformats.org/officeDocument/2006/relationships/hyperlink" Target="https://doi.org/10.1016/j.cpcardiol.2022.101162" TargetMode="External"/><Relationship Id="rId7" Type="http://schemas.openxmlformats.org/officeDocument/2006/relationships/endnotes" Target="endnotes.xml"/><Relationship Id="rId12" Type="http://schemas.openxmlformats.org/officeDocument/2006/relationships/hyperlink" Target="https://doi.org/10.1186/s13690-020-00458-3" TargetMode="External"/><Relationship Id="rId17" Type="http://schemas.openxmlformats.org/officeDocument/2006/relationships/hyperlink" Target="https://doi.org/10.22099/mbrc.2019.34904.1438" TargetMode="External"/><Relationship Id="rId25" Type="http://schemas.openxmlformats.org/officeDocument/2006/relationships/hyperlink" Target="https://www.sciencedirect.com/science/article/pii/S0166223609001398" TargetMode="External"/><Relationship Id="rId33" Type="http://schemas.openxmlformats.org/officeDocument/2006/relationships/hyperlink" Target="https://doi.org/10.1155/2023/1159973" TargetMode="External"/><Relationship Id="rId2" Type="http://schemas.openxmlformats.org/officeDocument/2006/relationships/numbering" Target="numbering.xml"/><Relationship Id="rId16" Type="http://schemas.openxmlformats.org/officeDocument/2006/relationships/hyperlink" Target="https://doi.org/10.1146/annurev-physiol-042022-014322" TargetMode="External"/><Relationship Id="rId20" Type="http://schemas.openxmlformats.org/officeDocument/2006/relationships/hyperlink" Target="https://doi.org/10.1371/journal.pone.0037396" TargetMode="External"/><Relationship Id="rId29" Type="http://schemas.openxmlformats.org/officeDocument/2006/relationships/hyperlink" Target="https://doi.org/10.1155/2016/76361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122/jml-2019-0108" TargetMode="External"/><Relationship Id="rId24" Type="http://schemas.openxmlformats.org/officeDocument/2006/relationships/hyperlink" Target="https://doi.org/10.1177/1470320318770546" TargetMode="External"/><Relationship Id="rId32" Type="http://schemas.openxmlformats.org/officeDocument/2006/relationships/hyperlink" Target="https://doi.org/10.3390/ijerph18073443" TargetMode="External"/><Relationship Id="rId5" Type="http://schemas.openxmlformats.org/officeDocument/2006/relationships/webSettings" Target="webSettings.xml"/><Relationship Id="rId15" Type="http://schemas.openxmlformats.org/officeDocument/2006/relationships/hyperlink" Target="https://doi.org/10.1111/resp.14142" TargetMode="External"/><Relationship Id="rId23" Type="http://schemas.openxmlformats.org/officeDocument/2006/relationships/hyperlink" Target="https://doi.org/10.1136/bmjresp-2016-000165" TargetMode="External"/><Relationship Id="rId28" Type="http://schemas.openxmlformats.org/officeDocument/2006/relationships/hyperlink" Target="https://doi.org/10.1097/MD.0000000000030942" TargetMode="External"/><Relationship Id="rId36" Type="http://schemas.openxmlformats.org/officeDocument/2006/relationships/theme" Target="theme/theme1.xml"/><Relationship Id="rId10" Type="http://schemas.openxmlformats.org/officeDocument/2006/relationships/hyperlink" Target="https://doi.org/10.1016/j.heliyon.2024.e30612" TargetMode="External"/><Relationship Id="rId19" Type="http://schemas.openxmlformats.org/officeDocument/2006/relationships/hyperlink" Target="https://doi.org/10.2478/pneum-2019-0039" TargetMode="External"/><Relationship Id="rId31" Type="http://schemas.openxmlformats.org/officeDocument/2006/relationships/hyperlink" Target="https://doi.org/10.1371/journal.pone.0221248" TargetMode="External"/><Relationship Id="rId4" Type="http://schemas.openxmlformats.org/officeDocument/2006/relationships/settings" Target="settings.xml"/><Relationship Id="rId9" Type="http://schemas.openxmlformats.org/officeDocument/2006/relationships/hyperlink" Target="https://www.sciencedirect.com/science/article/pii/S1359610124001060" TargetMode="External"/><Relationship Id="rId14" Type="http://schemas.openxmlformats.org/officeDocument/2006/relationships/hyperlink" Target="https://doi.org/10.1111/crj.70002" TargetMode="External"/><Relationship Id="rId22" Type="http://schemas.openxmlformats.org/officeDocument/2006/relationships/hyperlink" Target="https://doi.org/10.1159/000381684" TargetMode="External"/><Relationship Id="rId27" Type="http://schemas.openxmlformats.org/officeDocument/2006/relationships/hyperlink" Target="https://doi.org/10.3389/fgene.2022.1035796" TargetMode="External"/><Relationship Id="rId30" Type="http://schemas.openxmlformats.org/officeDocument/2006/relationships/hyperlink" Target="http://dx.doi.org/10.1016/j.gendis.2016.03.001"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EDC0-144F-4B00-BD5D-42BFE482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14426</Words>
  <Characters>82229</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Thuraya Abdullsalam</dc:creator>
  <cp:keywords/>
  <dc:description/>
  <cp:lastModifiedBy>Bhuvnesh</cp:lastModifiedBy>
  <cp:revision>3</cp:revision>
  <cp:lastPrinted>2025-09-06T06:01:00Z</cp:lastPrinted>
  <dcterms:created xsi:type="dcterms:W3CDTF">2026-05-21T03:35:00Z</dcterms:created>
  <dcterms:modified xsi:type="dcterms:W3CDTF">2026-05-21T03:53:00Z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e98ac1c3-a949-42ad-9c46-f43c9b569e1f</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4th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6a33542d-5588-3330-aca8-363a69e973a3</vt:lpwstr>
  </property>
  <property fmtid="{D5CDD505-2E9C-101B-9397-08002B2CF9AE}" pid="25" name="Mendeley Citation Style_1">
    <vt:lpwstr>http://www.zotero.org/styles/vancouver</vt:lpwstr>
  </property>
</Properties>
</file>