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1D96" w14:textId="3A3DA2A7" w:rsidR="006929AF" w:rsidRPr="00375C89" w:rsidRDefault="006929AF" w:rsidP="006929AF">
      <w:pPr>
        <w:spacing w:after="0"/>
        <w:jc w:val="right"/>
        <w:rPr>
          <w:rFonts w:ascii="Times New Roman" w:hAnsi="Times New Roman" w:cs="Times New Roman"/>
          <w:b/>
          <w:color w:val="00B050"/>
          <w:sz w:val="24"/>
          <w:szCs w:val="24"/>
        </w:rPr>
      </w:pPr>
      <w:r w:rsidRPr="00375C89">
        <w:rPr>
          <w:rFonts w:ascii="Times New Roman" w:hAnsi="Times New Roman" w:cs="Times New Roman"/>
          <w:b/>
          <w:color w:val="00B050"/>
          <w:sz w:val="24"/>
          <w:szCs w:val="24"/>
        </w:rPr>
        <w:t>May 11, 2026</w:t>
      </w:r>
      <w:r w:rsidR="00D12130" w:rsidRPr="00375C89">
        <w:rPr>
          <w:rFonts w:ascii="Times New Roman" w:hAnsi="Times New Roman" w:cs="Times New Roman"/>
          <w:b/>
          <w:color w:val="00B050"/>
          <w:sz w:val="24"/>
          <w:szCs w:val="24"/>
        </w:rPr>
        <w:t xml:space="preserve"> </w:t>
      </w:r>
      <w:r w:rsidR="00260EA6">
        <w:rPr>
          <w:rFonts w:ascii="Times New Roman" w:hAnsi="Times New Roman" w:cs="Times New Roman"/>
          <w:b/>
          <w:color w:val="00B050"/>
          <w:sz w:val="24"/>
          <w:szCs w:val="24"/>
        </w:rPr>
        <w:t>(F)</w:t>
      </w:r>
    </w:p>
    <w:p w14:paraId="26D24164" w14:textId="6A22A221" w:rsidR="00B062C2" w:rsidRPr="00375C89" w:rsidRDefault="00B062C2" w:rsidP="00AF27D5">
      <w:pPr>
        <w:spacing w:after="0"/>
        <w:jc w:val="center"/>
        <w:rPr>
          <w:rFonts w:ascii="Times New Roman" w:hAnsi="Times New Roman" w:cs="Times New Roman"/>
          <w:b/>
          <w:sz w:val="24"/>
          <w:szCs w:val="24"/>
        </w:rPr>
      </w:pPr>
      <w:r w:rsidRPr="00375C89">
        <w:rPr>
          <w:rFonts w:ascii="Times New Roman" w:hAnsi="Times New Roman" w:cs="Times New Roman"/>
          <w:b/>
          <w:sz w:val="24"/>
          <w:szCs w:val="24"/>
        </w:rPr>
        <w:t>Dysbiosis of Vaginal Microbiome, Impact on Reproductive Health and Emerging Therapeutic Strategies</w:t>
      </w:r>
    </w:p>
    <w:p w14:paraId="44B9BB05" w14:textId="77777777" w:rsidR="00B062C2" w:rsidRPr="00375C89" w:rsidRDefault="00B062C2" w:rsidP="00AF27D5">
      <w:pPr>
        <w:spacing w:after="0"/>
        <w:jc w:val="center"/>
        <w:rPr>
          <w:rFonts w:ascii="Times New Roman" w:hAnsi="Times New Roman" w:cs="Times New Roman"/>
          <w:b/>
          <w:color w:val="00B0F0"/>
          <w:sz w:val="24"/>
          <w:szCs w:val="24"/>
          <w:lang w:val="en-US"/>
        </w:rPr>
      </w:pPr>
    </w:p>
    <w:p w14:paraId="79C0FBF4" w14:textId="77777777" w:rsidR="006929AF" w:rsidRPr="00375C89" w:rsidRDefault="00E20554" w:rsidP="00AF27D5">
      <w:pPr>
        <w:spacing w:after="0"/>
        <w:jc w:val="center"/>
        <w:rPr>
          <w:rFonts w:ascii="Times New Roman" w:hAnsi="Times New Roman" w:cs="Times New Roman"/>
          <w:b/>
          <w:sz w:val="24"/>
          <w:szCs w:val="24"/>
        </w:rPr>
      </w:pPr>
      <w:r w:rsidRPr="00375C89">
        <w:rPr>
          <w:rFonts w:ascii="Times New Roman" w:hAnsi="Times New Roman" w:cs="Times New Roman"/>
          <w:b/>
          <w:sz w:val="24"/>
          <w:szCs w:val="24"/>
          <w:vertAlign w:val="superscript"/>
        </w:rPr>
        <w:t>1</w:t>
      </w:r>
      <w:r w:rsidR="003A7E62" w:rsidRPr="00375C89">
        <w:rPr>
          <w:rFonts w:ascii="Times New Roman" w:hAnsi="Times New Roman" w:cs="Times New Roman"/>
          <w:b/>
          <w:sz w:val="24"/>
          <w:szCs w:val="24"/>
        </w:rPr>
        <w:t xml:space="preserve">Asma Imran Ansari, </w:t>
      </w:r>
      <w:r w:rsidRPr="00375C89">
        <w:rPr>
          <w:rFonts w:ascii="Times New Roman" w:hAnsi="Times New Roman" w:cs="Times New Roman"/>
          <w:b/>
          <w:sz w:val="24"/>
          <w:szCs w:val="24"/>
          <w:vertAlign w:val="superscript"/>
        </w:rPr>
        <w:t>2</w:t>
      </w:r>
      <w:r w:rsidR="003A7E62" w:rsidRPr="00375C89">
        <w:rPr>
          <w:rFonts w:ascii="Times New Roman" w:hAnsi="Times New Roman" w:cs="Times New Roman"/>
          <w:b/>
          <w:sz w:val="24"/>
          <w:szCs w:val="24"/>
        </w:rPr>
        <w:t>Wajiha Zehra</w:t>
      </w:r>
      <w:r w:rsidR="002A4E8B" w:rsidRPr="00375C89">
        <w:rPr>
          <w:rFonts w:ascii="Times New Roman" w:hAnsi="Times New Roman" w:cs="Times New Roman"/>
          <w:b/>
          <w:sz w:val="24"/>
          <w:szCs w:val="24"/>
        </w:rPr>
        <w:t xml:space="preserve"> Rizvi</w:t>
      </w:r>
      <w:r w:rsidR="00E13359" w:rsidRPr="00375C89">
        <w:rPr>
          <w:rFonts w:ascii="Times New Roman" w:hAnsi="Times New Roman" w:cs="Times New Roman"/>
          <w:b/>
          <w:sz w:val="24"/>
          <w:szCs w:val="24"/>
        </w:rPr>
        <w:t xml:space="preserve">, </w:t>
      </w:r>
      <w:r w:rsidR="001F3341" w:rsidRPr="00375C89">
        <w:rPr>
          <w:rFonts w:ascii="Times New Roman" w:hAnsi="Times New Roman" w:cs="Times New Roman"/>
          <w:b/>
          <w:sz w:val="24"/>
          <w:szCs w:val="24"/>
          <w:vertAlign w:val="superscript"/>
        </w:rPr>
        <w:t>3</w:t>
      </w:r>
      <w:r w:rsidRPr="00375C89">
        <w:rPr>
          <w:rFonts w:ascii="Times New Roman" w:hAnsi="Times New Roman" w:cs="Times New Roman"/>
          <w:b/>
          <w:sz w:val="24"/>
          <w:szCs w:val="24"/>
        </w:rPr>
        <w:t xml:space="preserve">Zoya Hussain, </w:t>
      </w:r>
      <w:r w:rsidR="001F3341" w:rsidRPr="00375C89">
        <w:rPr>
          <w:rFonts w:ascii="Times New Roman" w:hAnsi="Times New Roman" w:cs="Times New Roman"/>
          <w:b/>
          <w:sz w:val="24"/>
          <w:szCs w:val="24"/>
          <w:vertAlign w:val="superscript"/>
        </w:rPr>
        <w:t>4</w:t>
      </w:r>
      <w:r w:rsidR="00BA5D35" w:rsidRPr="00375C89">
        <w:rPr>
          <w:rFonts w:ascii="Times New Roman" w:hAnsi="Times New Roman" w:cs="Times New Roman"/>
          <w:b/>
          <w:sz w:val="24"/>
          <w:szCs w:val="24"/>
        </w:rPr>
        <w:t xml:space="preserve">Shilpa Sharma </w:t>
      </w:r>
    </w:p>
    <w:p w14:paraId="3BD3950A" w14:textId="7B8EA95C" w:rsidR="003D27C5" w:rsidRPr="00375C89" w:rsidRDefault="00BA5D35" w:rsidP="00AF27D5">
      <w:pPr>
        <w:spacing w:after="0"/>
        <w:jc w:val="center"/>
        <w:rPr>
          <w:rFonts w:ascii="Times New Roman" w:hAnsi="Times New Roman" w:cs="Times New Roman"/>
          <w:b/>
          <w:sz w:val="24"/>
          <w:szCs w:val="24"/>
        </w:rPr>
      </w:pPr>
      <w:r w:rsidRPr="00375C89">
        <w:rPr>
          <w:rFonts w:ascii="Times New Roman" w:hAnsi="Times New Roman" w:cs="Times New Roman"/>
          <w:b/>
          <w:sz w:val="24"/>
          <w:szCs w:val="24"/>
        </w:rPr>
        <w:t>and</w:t>
      </w:r>
      <w:r w:rsidR="003A7E62" w:rsidRPr="00375C89">
        <w:rPr>
          <w:rFonts w:ascii="Times New Roman" w:hAnsi="Times New Roman" w:cs="Times New Roman"/>
          <w:b/>
          <w:sz w:val="24"/>
          <w:szCs w:val="24"/>
        </w:rPr>
        <w:t xml:space="preserve"> </w:t>
      </w:r>
      <w:r w:rsidR="001F3341" w:rsidRPr="00375C89">
        <w:rPr>
          <w:rFonts w:ascii="Times New Roman" w:hAnsi="Times New Roman" w:cs="Times New Roman"/>
          <w:b/>
          <w:sz w:val="24"/>
          <w:szCs w:val="24"/>
          <w:vertAlign w:val="superscript"/>
        </w:rPr>
        <w:t>5</w:t>
      </w:r>
      <w:r w:rsidR="003A7E62" w:rsidRPr="00375C89">
        <w:rPr>
          <w:rFonts w:ascii="Times New Roman" w:hAnsi="Times New Roman" w:cs="Times New Roman"/>
          <w:b/>
          <w:sz w:val="24"/>
          <w:szCs w:val="24"/>
        </w:rPr>
        <w:t>Sher Ali</w:t>
      </w:r>
      <w:r w:rsidR="00E20554" w:rsidRPr="00375C89">
        <w:rPr>
          <w:rFonts w:ascii="Times New Roman" w:hAnsi="Times New Roman" w:cs="Times New Roman"/>
          <w:b/>
          <w:sz w:val="24"/>
          <w:szCs w:val="24"/>
        </w:rPr>
        <w:t>*</w:t>
      </w:r>
    </w:p>
    <w:p w14:paraId="63CFDEBC" w14:textId="77777777" w:rsidR="003B75D4" w:rsidRPr="00375C89" w:rsidRDefault="003B75D4">
      <w:pPr>
        <w:jc w:val="center"/>
        <w:rPr>
          <w:rFonts w:ascii="Times New Roman" w:hAnsi="Times New Roman" w:cs="Times New Roman"/>
          <w:b/>
          <w:sz w:val="24"/>
          <w:szCs w:val="24"/>
        </w:rPr>
      </w:pPr>
    </w:p>
    <w:p w14:paraId="77A0A354" w14:textId="77777777" w:rsidR="003B75D4" w:rsidRPr="00375C89" w:rsidRDefault="003B75D4" w:rsidP="003B75D4">
      <w:pPr>
        <w:spacing w:after="0" w:line="240" w:lineRule="auto"/>
        <w:jc w:val="center"/>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vertAlign w:val="superscript"/>
          <w:lang w:eastAsia="en-IN"/>
        </w:rPr>
        <w:t>1</w:t>
      </w:r>
      <w:r w:rsidRPr="00375C89">
        <w:rPr>
          <w:rFonts w:ascii="Times New Roman" w:eastAsia="Times New Roman" w:hAnsi="Times New Roman" w:cs="Times New Roman"/>
          <w:color w:val="000000" w:themeColor="text1"/>
          <w:sz w:val="24"/>
          <w:szCs w:val="24"/>
          <w:lang w:eastAsia="en-IN"/>
        </w:rPr>
        <w:t>Department of Personalized and Molecular Medicine</w:t>
      </w:r>
    </w:p>
    <w:p w14:paraId="68A6D1D6" w14:textId="77777777" w:rsidR="003B75D4" w:rsidRPr="00375C89" w:rsidRDefault="003B75D4" w:rsidP="003B75D4">
      <w:pPr>
        <w:spacing w:after="0" w:line="240" w:lineRule="auto"/>
        <w:jc w:val="center"/>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Era University, Hardoi Road, Lucknow-226003</w:t>
      </w:r>
    </w:p>
    <w:p w14:paraId="62CCF68D" w14:textId="77777777" w:rsidR="003B75D4" w:rsidRPr="00375C89" w:rsidRDefault="003B75D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eastAsia="Times New Roman" w:hAnsi="Times New Roman" w:cs="Times New Roman"/>
          <w:color w:val="000000" w:themeColor="text1"/>
          <w:sz w:val="24"/>
          <w:szCs w:val="24"/>
          <w:lang w:eastAsia="en-IN"/>
        </w:rPr>
        <w:t>Email:</w:t>
      </w:r>
      <w:r w:rsidRPr="00375C89">
        <w:rPr>
          <w:rFonts w:ascii="Times New Roman" w:hAnsi="Times New Roman" w:cs="Times New Roman"/>
          <w:color w:val="000000" w:themeColor="text1"/>
          <w:sz w:val="24"/>
          <w:szCs w:val="24"/>
          <w:shd w:val="clear" w:color="auto" w:fill="FFFFFF"/>
        </w:rPr>
        <w:t xml:space="preserve"> </w:t>
      </w:r>
      <w:hyperlink r:id="rId7" w:history="1">
        <w:r w:rsidRPr="00375C89">
          <w:rPr>
            <w:rStyle w:val="Hyperlink"/>
            <w:rFonts w:ascii="Times New Roman" w:hAnsi="Times New Roman" w:cs="Times New Roman"/>
            <w:color w:val="000000" w:themeColor="text1"/>
            <w:sz w:val="24"/>
            <w:szCs w:val="24"/>
            <w:u w:val="none"/>
            <w:shd w:val="clear" w:color="auto" w:fill="FFFFFF"/>
          </w:rPr>
          <w:t>imranasma725@gmail.com</w:t>
        </w:r>
      </w:hyperlink>
    </w:p>
    <w:p w14:paraId="6C1B6A11" w14:textId="77777777" w:rsidR="003B75D4" w:rsidRPr="00375C89" w:rsidRDefault="003B75D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Phone: 9696371807</w:t>
      </w:r>
    </w:p>
    <w:p w14:paraId="55195382" w14:textId="77777777" w:rsidR="003B75D4" w:rsidRPr="00375C89" w:rsidRDefault="003B75D4" w:rsidP="003B75D4">
      <w:pPr>
        <w:spacing w:after="0" w:line="240" w:lineRule="auto"/>
        <w:jc w:val="center"/>
        <w:rPr>
          <w:rFonts w:ascii="Times New Roman" w:hAnsi="Times New Roman" w:cs="Times New Roman"/>
          <w:color w:val="000000" w:themeColor="text1"/>
          <w:sz w:val="24"/>
          <w:szCs w:val="24"/>
          <w:shd w:val="clear" w:color="auto" w:fill="FFFFFF"/>
        </w:rPr>
      </w:pPr>
    </w:p>
    <w:p w14:paraId="3D32DD47" w14:textId="502F76BB" w:rsidR="003B75D4" w:rsidRPr="00375C89" w:rsidRDefault="00E2055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vertAlign w:val="superscript"/>
        </w:rPr>
        <w:t>2</w:t>
      </w:r>
      <w:r w:rsidR="003B75D4" w:rsidRPr="00375C89">
        <w:rPr>
          <w:rFonts w:ascii="Times New Roman" w:hAnsi="Times New Roman" w:cs="Times New Roman"/>
          <w:color w:val="000000" w:themeColor="text1"/>
          <w:sz w:val="24"/>
          <w:szCs w:val="24"/>
          <w:shd w:val="clear" w:color="auto" w:fill="FFFFFF"/>
        </w:rPr>
        <w:t>Department of Biotechnology</w:t>
      </w:r>
    </w:p>
    <w:p w14:paraId="635FB2C6" w14:textId="77777777" w:rsidR="003B75D4" w:rsidRPr="00375C89" w:rsidRDefault="003B75D4" w:rsidP="003B75D4">
      <w:pPr>
        <w:spacing w:after="0" w:line="240" w:lineRule="auto"/>
        <w:jc w:val="center"/>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Era University, Hardoi Road, Lucknow-226003</w:t>
      </w:r>
    </w:p>
    <w:p w14:paraId="695A48CB" w14:textId="77777777" w:rsidR="003B75D4" w:rsidRPr="00375C89" w:rsidRDefault="003B75D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Email: wajihazehra18@gmail.com</w:t>
      </w:r>
    </w:p>
    <w:p w14:paraId="26FDF4AF" w14:textId="47A597B7" w:rsidR="003B75D4" w:rsidRPr="00375C89" w:rsidRDefault="003B75D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Phone: 7518056016</w:t>
      </w:r>
    </w:p>
    <w:p w14:paraId="1B2FA3CA" w14:textId="7246DFAB" w:rsidR="00E20554" w:rsidRPr="00375C89" w:rsidRDefault="00E20554" w:rsidP="003B75D4">
      <w:pPr>
        <w:spacing w:after="0" w:line="240" w:lineRule="auto"/>
        <w:jc w:val="center"/>
        <w:rPr>
          <w:rFonts w:ascii="Times New Roman" w:hAnsi="Times New Roman" w:cs="Times New Roman"/>
          <w:color w:val="000000" w:themeColor="text1"/>
          <w:sz w:val="24"/>
          <w:szCs w:val="24"/>
          <w:shd w:val="clear" w:color="auto" w:fill="FFFFFF"/>
        </w:rPr>
      </w:pPr>
    </w:p>
    <w:p w14:paraId="6039E0E0" w14:textId="398C82AD" w:rsidR="00E20554" w:rsidRPr="00375C89" w:rsidRDefault="001F3341"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vertAlign w:val="superscript"/>
        </w:rPr>
        <w:t>3</w:t>
      </w:r>
      <w:r w:rsidR="00E20554" w:rsidRPr="00375C89">
        <w:rPr>
          <w:rFonts w:ascii="Times New Roman" w:hAnsi="Times New Roman" w:cs="Times New Roman"/>
          <w:color w:val="000000" w:themeColor="text1"/>
          <w:sz w:val="24"/>
          <w:szCs w:val="24"/>
          <w:shd w:val="clear" w:color="auto" w:fill="FFFFFF"/>
        </w:rPr>
        <w:t xml:space="preserve">Department of Internal Medicine, </w:t>
      </w:r>
    </w:p>
    <w:p w14:paraId="46CFECB6" w14:textId="77777777" w:rsidR="00E20554" w:rsidRPr="00375C89" w:rsidRDefault="00E2055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 xml:space="preserve">School of Medical Sciences and Research, </w:t>
      </w:r>
    </w:p>
    <w:p w14:paraId="1E57F94A" w14:textId="2774CC57" w:rsidR="00E20554" w:rsidRPr="00375C89" w:rsidRDefault="00E20554" w:rsidP="003B75D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Sharda University, Greater Noida -201310 UP</w:t>
      </w:r>
    </w:p>
    <w:p w14:paraId="7E186684" w14:textId="2C0A7889" w:rsidR="00E20554" w:rsidRPr="00375C89" w:rsidRDefault="00E20554" w:rsidP="003B75D4">
      <w:pPr>
        <w:spacing w:after="0" w:line="240" w:lineRule="auto"/>
        <w:jc w:val="center"/>
        <w:rPr>
          <w:rFonts w:ascii="Times New Roman" w:hAnsi="Times New Roman" w:cs="Times New Roman"/>
          <w:color w:val="000000" w:themeColor="text1"/>
          <w:sz w:val="24"/>
          <w:szCs w:val="24"/>
          <w:shd w:val="clear" w:color="auto" w:fill="FFFFFF"/>
        </w:rPr>
      </w:pPr>
    </w:p>
    <w:p w14:paraId="22072D79" w14:textId="233ACE1F" w:rsidR="00E20554" w:rsidRPr="00375C89" w:rsidRDefault="001F3341" w:rsidP="00E2055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eastAsia="Times New Roman" w:hAnsi="Times New Roman" w:cs="Times New Roman"/>
          <w:color w:val="000000" w:themeColor="text1"/>
          <w:sz w:val="24"/>
          <w:szCs w:val="24"/>
          <w:vertAlign w:val="superscript"/>
          <w:lang w:eastAsia="en-IN"/>
        </w:rPr>
        <w:t>4</w:t>
      </w:r>
      <w:r w:rsidR="00E20554" w:rsidRPr="00375C89">
        <w:rPr>
          <w:rFonts w:ascii="Times New Roman" w:hAnsi="Times New Roman" w:cs="Times New Roman"/>
          <w:color w:val="000000" w:themeColor="text1"/>
          <w:sz w:val="24"/>
          <w:szCs w:val="24"/>
          <w:shd w:val="clear" w:color="auto" w:fill="FFFFFF"/>
        </w:rPr>
        <w:t xml:space="preserve">Department of Paediatrics, </w:t>
      </w:r>
    </w:p>
    <w:p w14:paraId="08682F69" w14:textId="77777777" w:rsidR="00E20554" w:rsidRPr="00375C89" w:rsidRDefault="00E20554" w:rsidP="00E2055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 xml:space="preserve">All India Institutes of Medical Science, </w:t>
      </w:r>
    </w:p>
    <w:p w14:paraId="1FEF8851" w14:textId="77777777" w:rsidR="00E20554" w:rsidRPr="00375C89" w:rsidRDefault="00E20554" w:rsidP="00E2055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New Delhi, India</w:t>
      </w:r>
    </w:p>
    <w:p w14:paraId="434D559B" w14:textId="77777777" w:rsidR="00E20554" w:rsidRPr="00375C89" w:rsidRDefault="00E20554" w:rsidP="00E20554">
      <w:pPr>
        <w:spacing w:after="0" w:line="240" w:lineRule="auto"/>
        <w:jc w:val="center"/>
        <w:rPr>
          <w:rFonts w:ascii="Times New Roman" w:hAnsi="Times New Roman" w:cs="Times New Roman"/>
          <w:color w:val="000000" w:themeColor="text1"/>
          <w:sz w:val="24"/>
          <w:szCs w:val="24"/>
          <w:shd w:val="clear" w:color="auto" w:fill="FFFFFF"/>
        </w:rPr>
      </w:pPr>
      <w:hyperlink r:id="rId8" w:history="1">
        <w:r w:rsidRPr="00375C89">
          <w:rPr>
            <w:rFonts w:ascii="Times New Roman" w:hAnsi="Times New Roman" w:cs="Times New Roman"/>
            <w:color w:val="000000" w:themeColor="text1"/>
            <w:sz w:val="24"/>
            <w:szCs w:val="24"/>
            <w:shd w:val="clear" w:color="auto" w:fill="FFFFFF"/>
          </w:rPr>
          <w:t>drshilpas@gmail.com</w:t>
        </w:r>
      </w:hyperlink>
    </w:p>
    <w:p w14:paraId="08D9EE68" w14:textId="77777777" w:rsidR="00E20554" w:rsidRPr="00375C89" w:rsidRDefault="00E20554" w:rsidP="00E20554">
      <w:pPr>
        <w:spacing w:after="0" w:line="240" w:lineRule="auto"/>
        <w:jc w:val="center"/>
        <w:rPr>
          <w:rFonts w:ascii="Times New Roman" w:hAnsi="Times New Roman" w:cs="Times New Roman"/>
          <w:color w:val="000000" w:themeColor="text1"/>
          <w:sz w:val="24"/>
          <w:szCs w:val="24"/>
          <w:shd w:val="clear" w:color="auto" w:fill="FFFFFF"/>
        </w:rPr>
      </w:pPr>
      <w:r w:rsidRPr="00375C89">
        <w:rPr>
          <w:rFonts w:ascii="Times New Roman" w:hAnsi="Times New Roman" w:cs="Times New Roman"/>
          <w:color w:val="000000" w:themeColor="text1"/>
          <w:sz w:val="24"/>
          <w:szCs w:val="24"/>
          <w:shd w:val="clear" w:color="auto" w:fill="FFFFFF"/>
        </w:rPr>
        <w:t>9810863996</w:t>
      </w:r>
    </w:p>
    <w:p w14:paraId="1C8924E1" w14:textId="77777777" w:rsidR="003B75D4" w:rsidRPr="00375C89" w:rsidRDefault="003B75D4" w:rsidP="003B75D4">
      <w:pPr>
        <w:spacing w:after="0" w:line="240" w:lineRule="auto"/>
        <w:jc w:val="center"/>
        <w:rPr>
          <w:rFonts w:ascii="Times New Roman" w:hAnsi="Times New Roman" w:cs="Times New Roman"/>
          <w:color w:val="000000" w:themeColor="text1"/>
          <w:sz w:val="24"/>
          <w:szCs w:val="24"/>
          <w:shd w:val="clear" w:color="auto" w:fill="FFFFFF"/>
        </w:rPr>
      </w:pPr>
    </w:p>
    <w:p w14:paraId="16A09C16" w14:textId="49493483" w:rsidR="003B75D4" w:rsidRPr="00375C89" w:rsidRDefault="001F3341" w:rsidP="003B75D4">
      <w:pPr>
        <w:spacing w:after="0" w:line="240" w:lineRule="auto"/>
        <w:jc w:val="center"/>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vertAlign w:val="superscript"/>
          <w:lang w:eastAsia="en-IN"/>
        </w:rPr>
        <w:t>5</w:t>
      </w:r>
      <w:r w:rsidR="003B75D4" w:rsidRPr="00375C89">
        <w:rPr>
          <w:rFonts w:ascii="Times New Roman" w:eastAsia="Times New Roman" w:hAnsi="Times New Roman" w:cs="Times New Roman"/>
          <w:color w:val="000000" w:themeColor="text1"/>
          <w:sz w:val="24"/>
          <w:szCs w:val="24"/>
          <w:vertAlign w:val="superscript"/>
          <w:lang w:eastAsia="en-IN"/>
        </w:rPr>
        <w:t>*</w:t>
      </w:r>
      <w:r w:rsidR="003B75D4" w:rsidRPr="00375C89">
        <w:rPr>
          <w:rFonts w:ascii="Times New Roman" w:eastAsia="Times New Roman" w:hAnsi="Times New Roman" w:cs="Times New Roman"/>
          <w:color w:val="000000" w:themeColor="text1"/>
          <w:sz w:val="24"/>
          <w:szCs w:val="24"/>
          <w:lang w:eastAsia="en-IN"/>
        </w:rPr>
        <w:t>Office of the Dean, Research and Development</w:t>
      </w:r>
    </w:p>
    <w:p w14:paraId="2A90B3A3" w14:textId="77777777" w:rsidR="003B75D4" w:rsidRPr="00375C89" w:rsidRDefault="003B75D4" w:rsidP="003B75D4">
      <w:pPr>
        <w:spacing w:after="0" w:line="240" w:lineRule="auto"/>
        <w:jc w:val="center"/>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Era University, Hardoi Road, Lucknow-226003</w:t>
      </w:r>
    </w:p>
    <w:p w14:paraId="0C483E2C" w14:textId="77777777" w:rsidR="003B75D4" w:rsidRPr="00375C89" w:rsidRDefault="003B75D4" w:rsidP="003B75D4">
      <w:pPr>
        <w:spacing w:after="0" w:line="240" w:lineRule="auto"/>
        <w:jc w:val="center"/>
        <w:rPr>
          <w:rFonts w:ascii="Times New Roman" w:eastAsia="Times New Roman" w:hAnsi="Times New Roman" w:cs="Times New Roman"/>
          <w:color w:val="000000" w:themeColor="text1"/>
          <w:sz w:val="24"/>
          <w:szCs w:val="24"/>
          <w:lang w:eastAsia="en-IN"/>
        </w:rPr>
      </w:pPr>
      <w:hyperlink r:id="rId9" w:history="1">
        <w:r w:rsidRPr="00375C89">
          <w:rPr>
            <w:rStyle w:val="Hyperlink"/>
            <w:rFonts w:ascii="Times New Roman" w:eastAsia="Times New Roman" w:hAnsi="Times New Roman" w:cs="Times New Roman"/>
            <w:color w:val="000000" w:themeColor="text1"/>
            <w:sz w:val="24"/>
            <w:szCs w:val="24"/>
            <w:u w:val="none"/>
            <w:lang w:eastAsia="en-IN"/>
          </w:rPr>
          <w:t>profsali55@gmail.com</w:t>
        </w:r>
      </w:hyperlink>
    </w:p>
    <w:p w14:paraId="4A85DC2D" w14:textId="77777777" w:rsidR="003B75D4" w:rsidRPr="00375C89" w:rsidRDefault="003B75D4" w:rsidP="003B75D4">
      <w:pPr>
        <w:spacing w:after="0" w:line="240" w:lineRule="auto"/>
        <w:jc w:val="center"/>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9818004632</w:t>
      </w:r>
    </w:p>
    <w:p w14:paraId="4C440F14" w14:textId="77777777" w:rsidR="003B75D4" w:rsidRPr="00375C89" w:rsidRDefault="003B75D4" w:rsidP="003B75D4">
      <w:pPr>
        <w:spacing w:line="240" w:lineRule="auto"/>
        <w:rPr>
          <w:rFonts w:ascii="Times New Roman" w:hAnsi="Times New Roman" w:cs="Times New Roman"/>
          <w:sz w:val="24"/>
          <w:szCs w:val="24"/>
        </w:rPr>
      </w:pPr>
    </w:p>
    <w:p w14:paraId="747A480D" w14:textId="77777777" w:rsidR="00B062C2" w:rsidRPr="00375C89" w:rsidRDefault="00B062C2" w:rsidP="003B75D4">
      <w:pPr>
        <w:spacing w:line="240" w:lineRule="auto"/>
        <w:rPr>
          <w:rFonts w:ascii="Times New Roman" w:hAnsi="Times New Roman" w:cs="Times New Roman"/>
          <w:sz w:val="24"/>
          <w:szCs w:val="24"/>
        </w:rPr>
      </w:pPr>
    </w:p>
    <w:p w14:paraId="6A0350E6" w14:textId="16884B99" w:rsidR="003B75D4" w:rsidRPr="00375C89" w:rsidRDefault="003B75D4" w:rsidP="003B75D4">
      <w:pPr>
        <w:spacing w:after="0" w:line="240" w:lineRule="auto"/>
        <w:rPr>
          <w:rFonts w:ascii="Times New Roman" w:hAnsi="Times New Roman" w:cs="Times New Roman"/>
          <w:b/>
          <w:bCs/>
          <w:sz w:val="24"/>
          <w:szCs w:val="24"/>
        </w:rPr>
      </w:pPr>
      <w:r w:rsidRPr="00375C89">
        <w:rPr>
          <w:rFonts w:ascii="Times New Roman" w:hAnsi="Times New Roman" w:cs="Times New Roman"/>
          <w:b/>
          <w:bCs/>
          <w:sz w:val="24"/>
          <w:szCs w:val="24"/>
        </w:rPr>
        <w:t>Corresponding Author*</w:t>
      </w:r>
    </w:p>
    <w:p w14:paraId="1C437135" w14:textId="77777777" w:rsidR="003B75D4" w:rsidRPr="00375C89" w:rsidRDefault="003B75D4" w:rsidP="003B75D4">
      <w:pPr>
        <w:spacing w:after="0" w:line="240" w:lineRule="auto"/>
        <w:rPr>
          <w:rFonts w:ascii="Times New Roman" w:hAnsi="Times New Roman" w:cs="Times New Roman"/>
          <w:sz w:val="24"/>
          <w:szCs w:val="24"/>
        </w:rPr>
      </w:pPr>
      <w:r w:rsidRPr="00375C89">
        <w:rPr>
          <w:rFonts w:ascii="Times New Roman" w:hAnsi="Times New Roman" w:cs="Times New Roman"/>
          <w:sz w:val="24"/>
          <w:szCs w:val="24"/>
        </w:rPr>
        <w:t>Prof. Dr. Sher Ali</w:t>
      </w:r>
    </w:p>
    <w:p w14:paraId="625AB613" w14:textId="77777777" w:rsidR="003B75D4" w:rsidRPr="00375C89" w:rsidRDefault="003B75D4" w:rsidP="003B75D4">
      <w:pPr>
        <w:spacing w:after="0" w:line="240" w:lineRule="auto"/>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Office of the Dean, Research and Development</w:t>
      </w:r>
    </w:p>
    <w:p w14:paraId="4D07DD1B" w14:textId="77777777" w:rsidR="003B75D4" w:rsidRPr="00375C89" w:rsidRDefault="003B75D4" w:rsidP="003B75D4">
      <w:pPr>
        <w:spacing w:after="0" w:line="240" w:lineRule="auto"/>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 xml:space="preserve">Era University, Hardoi Road </w:t>
      </w:r>
    </w:p>
    <w:p w14:paraId="41BA255B" w14:textId="77777777" w:rsidR="003B75D4" w:rsidRPr="00375C89" w:rsidRDefault="003B75D4" w:rsidP="003B75D4">
      <w:pPr>
        <w:spacing w:after="0" w:line="240" w:lineRule="auto"/>
        <w:rPr>
          <w:rFonts w:ascii="Times New Roman" w:eastAsia="Times New Roman" w:hAnsi="Times New Roman" w:cs="Times New Roman"/>
          <w:color w:val="000000" w:themeColor="text1"/>
          <w:sz w:val="24"/>
          <w:szCs w:val="24"/>
          <w:lang w:eastAsia="en-IN"/>
        </w:rPr>
      </w:pPr>
      <w:r w:rsidRPr="00375C89">
        <w:rPr>
          <w:rFonts w:ascii="Times New Roman" w:eastAsia="Times New Roman" w:hAnsi="Times New Roman" w:cs="Times New Roman"/>
          <w:color w:val="000000" w:themeColor="text1"/>
          <w:sz w:val="24"/>
          <w:szCs w:val="24"/>
          <w:lang w:eastAsia="en-IN"/>
        </w:rPr>
        <w:t>Lucknow-226003</w:t>
      </w:r>
    </w:p>
    <w:p w14:paraId="1D37F804" w14:textId="77777777" w:rsidR="003B75D4" w:rsidRPr="00375C89" w:rsidRDefault="003B75D4" w:rsidP="003B75D4">
      <w:pPr>
        <w:spacing w:after="0" w:line="240" w:lineRule="auto"/>
        <w:rPr>
          <w:rFonts w:ascii="Times New Roman" w:eastAsia="Times New Roman" w:hAnsi="Times New Roman" w:cs="Times New Roman"/>
          <w:color w:val="000000" w:themeColor="text1"/>
          <w:sz w:val="24"/>
          <w:szCs w:val="24"/>
          <w:lang w:eastAsia="en-IN"/>
        </w:rPr>
      </w:pPr>
      <w:r w:rsidRPr="00375C89">
        <w:rPr>
          <w:rFonts w:ascii="Times New Roman" w:hAnsi="Times New Roman" w:cs="Times New Roman"/>
          <w:color w:val="000000" w:themeColor="text1"/>
          <w:sz w:val="24"/>
          <w:szCs w:val="24"/>
          <w:shd w:val="clear" w:color="auto" w:fill="FFFFFF"/>
        </w:rPr>
        <w:t xml:space="preserve">Email: </w:t>
      </w:r>
      <w:r w:rsidRPr="00375C89">
        <w:rPr>
          <w:rFonts w:ascii="Times New Roman" w:eastAsia="Times New Roman" w:hAnsi="Times New Roman" w:cs="Times New Roman"/>
          <w:sz w:val="24"/>
          <w:szCs w:val="24"/>
          <w:lang w:eastAsia="en-IN"/>
        </w:rPr>
        <w:t>profsali55@gmail.com</w:t>
      </w:r>
    </w:p>
    <w:p w14:paraId="05E7D76D" w14:textId="544B97CF" w:rsidR="003B75D4" w:rsidRPr="00375C89" w:rsidRDefault="003B75D4" w:rsidP="00E23F18">
      <w:pPr>
        <w:spacing w:after="0" w:line="240" w:lineRule="auto"/>
        <w:rPr>
          <w:rFonts w:ascii="Times New Roman" w:eastAsia="Times New Roman" w:hAnsi="Times New Roman" w:cs="Times New Roman"/>
          <w:color w:val="000000" w:themeColor="text1"/>
          <w:sz w:val="24"/>
          <w:szCs w:val="24"/>
          <w:lang w:eastAsia="en-IN"/>
        </w:rPr>
      </w:pPr>
      <w:r w:rsidRPr="00375C89">
        <w:rPr>
          <w:rFonts w:ascii="Times New Roman" w:hAnsi="Times New Roman" w:cs="Times New Roman"/>
          <w:color w:val="000000" w:themeColor="text1"/>
          <w:sz w:val="24"/>
          <w:szCs w:val="24"/>
          <w:shd w:val="clear" w:color="auto" w:fill="FFFFFF"/>
        </w:rPr>
        <w:t xml:space="preserve">Phone: </w:t>
      </w:r>
      <w:r w:rsidRPr="00375C89">
        <w:rPr>
          <w:rFonts w:ascii="Times New Roman" w:eastAsia="Times New Roman" w:hAnsi="Times New Roman" w:cs="Times New Roman"/>
          <w:color w:val="000000" w:themeColor="text1"/>
          <w:sz w:val="24"/>
          <w:szCs w:val="24"/>
          <w:lang w:eastAsia="en-IN"/>
        </w:rPr>
        <w:t>9818004632</w:t>
      </w:r>
    </w:p>
    <w:p w14:paraId="0D2ECA97" w14:textId="77777777" w:rsidR="00B062C2" w:rsidRPr="00375C89" w:rsidRDefault="00B062C2" w:rsidP="003D27C5">
      <w:pPr>
        <w:rPr>
          <w:rFonts w:ascii="Times New Roman" w:hAnsi="Times New Roman" w:cs="Times New Roman"/>
          <w:b/>
          <w:color w:val="0070C0"/>
          <w:sz w:val="24"/>
          <w:szCs w:val="24"/>
        </w:rPr>
      </w:pPr>
    </w:p>
    <w:p w14:paraId="50F224CA" w14:textId="77777777" w:rsidR="00B062C2" w:rsidRPr="00375C89" w:rsidRDefault="00B062C2" w:rsidP="003D27C5">
      <w:pPr>
        <w:rPr>
          <w:rFonts w:ascii="Times New Roman" w:hAnsi="Times New Roman" w:cs="Times New Roman"/>
          <w:b/>
          <w:sz w:val="24"/>
          <w:szCs w:val="24"/>
          <w:lang w:val="en-US"/>
        </w:rPr>
      </w:pPr>
    </w:p>
    <w:p w14:paraId="29047413" w14:textId="77777777" w:rsidR="00F3372E" w:rsidRPr="00375C89" w:rsidRDefault="00F3372E">
      <w:pPr>
        <w:rPr>
          <w:rFonts w:ascii="Times New Roman" w:hAnsi="Times New Roman" w:cs="Times New Roman"/>
          <w:b/>
          <w:sz w:val="24"/>
          <w:szCs w:val="24"/>
          <w:lang w:val="en-US"/>
        </w:rPr>
      </w:pPr>
      <w:r w:rsidRPr="00375C89">
        <w:rPr>
          <w:rFonts w:ascii="Times New Roman" w:hAnsi="Times New Roman" w:cs="Times New Roman"/>
          <w:b/>
          <w:sz w:val="24"/>
          <w:szCs w:val="24"/>
          <w:lang w:val="en-US"/>
        </w:rPr>
        <w:br w:type="page"/>
      </w:r>
    </w:p>
    <w:p w14:paraId="67C53FD0" w14:textId="3A27EEE4" w:rsidR="003D27C5" w:rsidRPr="00375C89" w:rsidRDefault="003D27C5" w:rsidP="003D27C5">
      <w:pPr>
        <w:rPr>
          <w:rFonts w:ascii="Times New Roman" w:hAnsi="Times New Roman" w:cs="Times New Roman"/>
          <w:b/>
          <w:sz w:val="24"/>
          <w:szCs w:val="24"/>
          <w:lang w:val="en-US"/>
        </w:rPr>
      </w:pPr>
      <w:r w:rsidRPr="00375C89">
        <w:rPr>
          <w:rFonts w:ascii="Times New Roman" w:hAnsi="Times New Roman" w:cs="Times New Roman"/>
          <w:b/>
          <w:sz w:val="24"/>
          <w:szCs w:val="24"/>
          <w:lang w:val="en-US"/>
        </w:rPr>
        <w:lastRenderedPageBreak/>
        <w:t>Abstract</w:t>
      </w:r>
    </w:p>
    <w:p w14:paraId="70FB9EDD" w14:textId="339B138B" w:rsidR="00263B24" w:rsidRPr="00375C89" w:rsidRDefault="00263B24" w:rsidP="00747E87">
      <w:pPr>
        <w:spacing w:line="36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Women’s reproductive health is of paramount importance, given their central roles in family and societal well-being. During the reproductive years, women are particularly vulnerable to physiological and psychosocial challenges arising from dynamic hormonal fluctuations, emotional stress, sexual practices, and complex interpersonal relationships. This vulnerability is further exacerbated by limited awareness of reproductive health and low socioeconomic status. Lifestyle factors, including dietary habits, sleep patterns, personal hygiene, and inadvertent exposure to pathogens, also significantly influence reproductive outcomes. The human vagina harbours a highly ​​specialised and dynamic microbial ecosystem, predominantly composed of beneficial Lactobacillus species, including Lactobacillus crispatus, Lactobacillus gasseri, Lactobacillus iners, and Lactobacillus jensenii. These species play a crucial role in maintaining vaginal health by preserving an acidic pH, sustaining epithelial integrity, and regulating mucosal immune homeostasis. Disruption of this microbial balance leads to dysbiosis, which is associated with conditions such as bacterial vaginosis (BV), vulvovaginal candidiasis, and sexually transmitted infections (STIs). BV-associated microorganisms, including Gardnerella vaginalis, Prevotella bivia, bacterial vaginosis-associated bacteria (BVABs), and Sneathia species, along with STI-causing pathogens such as Neisseria gonorrhoeae, Chlamydia trachomatis, Treponema pallidum, Mycoplasma genitalium, human papillomavirus (HPV), herpes simplex virus (HSV), and human immunodeficiency virus (HIV)​,​ contribute significantly to reproductive morbidity. Additionally, opportunistic pathogens such as Escherichia coli, Enterococcus faecalis, and Group B Streptococcus further complicate vaginal health. This review comprehensively examines the vaginal microbiota in both healthy and diseased states, with particular emphasis on the mechanistic pathways ​​that underlie its associations with epithelial barrier disruption, immune modulation, biofilm formation, microbial ascension, and chronic inflammation. These interconnected processes are implicated in adverse reproductive outcomes, including infertility, </w:t>
      </w:r>
      <w:r w:rsidR="00747E87" w:rsidRPr="00375C89">
        <w:rPr>
          <w:rFonts w:ascii="Times New Roman" w:eastAsia="Times New Roman" w:hAnsi="Times New Roman" w:cs="Times New Roman"/>
          <w:sz w:val="24"/>
          <w:szCs w:val="24"/>
          <w:lang w:eastAsia="en-IN"/>
        </w:rPr>
        <w:t>preterm labour</w:t>
      </w:r>
      <w:r w:rsidRPr="00375C89">
        <w:rPr>
          <w:rFonts w:ascii="Times New Roman" w:eastAsia="Times New Roman" w:hAnsi="Times New Roman" w:cs="Times New Roman"/>
          <w:sz w:val="24"/>
          <w:szCs w:val="24"/>
          <w:lang w:eastAsia="en-IN"/>
        </w:rPr>
        <w:t xml:space="preserve">, recurrent pregnancy loss, and cervical carcinogenesis. Furthermore, emerging multi-omics approaches such as metagenomics, metatranscriptomics, metabolomics, and organ-on-chip technologies hold significant promise for advancing diagnostic precision and therapeutic interventions. Finally, the limitations of conventional antimicrobial therapies are critically evaluated, and novel microbiota-targeted strategies, including strain-specific probiotics, vaginal microbiota transplantation, bacteriophage therapy, and partner-inclusive interventions, are highlighted. It is anticipated that this review </w:t>
      </w:r>
      <w:r w:rsidRPr="00375C89">
        <w:rPr>
          <w:rFonts w:ascii="Times New Roman" w:eastAsia="Times New Roman" w:hAnsi="Times New Roman" w:cs="Times New Roman"/>
          <w:sz w:val="24"/>
          <w:szCs w:val="24"/>
          <w:lang w:eastAsia="en-IN"/>
        </w:rPr>
        <w:lastRenderedPageBreak/>
        <w:t>will raise awareness and promote strategies to restore the functional balance and resilience of the vaginal microbiome, thereby improving women’s reproductive health and overall quality of life.</w:t>
      </w:r>
    </w:p>
    <w:p w14:paraId="4AA38E52" w14:textId="75014BE8" w:rsidR="00580F39" w:rsidRPr="00375C89" w:rsidRDefault="00580F39" w:rsidP="008E15D1">
      <w:pPr>
        <w:spacing w:line="360" w:lineRule="auto"/>
        <w:jc w:val="both"/>
        <w:rPr>
          <w:rFonts w:ascii="Times New Roman" w:eastAsia="Times New Roman" w:hAnsi="Times New Roman" w:cs="Times New Roman"/>
          <w:bCs/>
          <w:color w:val="000000" w:themeColor="text1"/>
          <w:sz w:val="24"/>
          <w:szCs w:val="24"/>
          <w:lang w:eastAsia="en-IN"/>
        </w:rPr>
      </w:pPr>
      <w:r w:rsidRPr="00375C89">
        <w:rPr>
          <w:rFonts w:ascii="Times New Roman" w:eastAsia="Times New Roman" w:hAnsi="Times New Roman" w:cs="Times New Roman"/>
          <w:b/>
          <w:bCs/>
          <w:color w:val="000000" w:themeColor="text1"/>
          <w:sz w:val="24"/>
          <w:szCs w:val="24"/>
          <w:lang w:eastAsia="en-IN"/>
        </w:rPr>
        <w:t xml:space="preserve">Key Words: </w:t>
      </w:r>
      <w:r w:rsidRPr="00375C89">
        <w:rPr>
          <w:rFonts w:ascii="Times New Roman" w:eastAsia="Times New Roman" w:hAnsi="Times New Roman" w:cs="Times New Roman"/>
          <w:bCs/>
          <w:color w:val="000000" w:themeColor="text1"/>
          <w:sz w:val="24"/>
          <w:szCs w:val="24"/>
          <w:lang w:eastAsia="en-IN"/>
        </w:rPr>
        <w:t>Vaginal health, Microbial dysbiosis. Sexually transmitted infection, vaginal fauna</w:t>
      </w:r>
      <w:r w:rsidR="00720C90" w:rsidRPr="00375C89">
        <w:rPr>
          <w:rFonts w:ascii="Times New Roman" w:eastAsia="Times New Roman" w:hAnsi="Times New Roman" w:cs="Times New Roman"/>
          <w:bCs/>
          <w:color w:val="000000" w:themeColor="text1"/>
          <w:sz w:val="24"/>
          <w:szCs w:val="24"/>
          <w:lang w:eastAsia="en-IN"/>
        </w:rPr>
        <w:t>, vaginosis</w:t>
      </w:r>
      <w:r w:rsidR="00EE554C" w:rsidRPr="00375C89">
        <w:rPr>
          <w:rFonts w:ascii="Times New Roman" w:eastAsia="Times New Roman" w:hAnsi="Times New Roman" w:cs="Times New Roman"/>
          <w:bCs/>
          <w:color w:val="000000" w:themeColor="text1"/>
          <w:sz w:val="24"/>
          <w:szCs w:val="24"/>
          <w:lang w:eastAsia="en-IN"/>
        </w:rPr>
        <w:t>,</w:t>
      </w:r>
      <w:r w:rsidR="00720C90" w:rsidRPr="00375C89">
        <w:rPr>
          <w:rFonts w:ascii="Times New Roman" w:eastAsia="Times New Roman" w:hAnsi="Times New Roman" w:cs="Times New Roman"/>
          <w:bCs/>
          <w:color w:val="000000" w:themeColor="text1"/>
          <w:sz w:val="24"/>
          <w:szCs w:val="24"/>
          <w:lang w:eastAsia="en-IN"/>
        </w:rPr>
        <w:t xml:space="preserve"> </w:t>
      </w:r>
      <w:r w:rsidR="00745AA6" w:rsidRPr="00375C89">
        <w:rPr>
          <w:rFonts w:ascii="Times New Roman" w:eastAsia="Times New Roman" w:hAnsi="Times New Roman" w:cs="Times New Roman"/>
          <w:bCs/>
          <w:color w:val="000000" w:themeColor="text1"/>
          <w:sz w:val="24"/>
          <w:szCs w:val="24"/>
          <w:lang w:eastAsia="en-IN"/>
        </w:rPr>
        <w:t>and candidiasis</w:t>
      </w:r>
      <w:r w:rsidR="00F169B4" w:rsidRPr="00375C89">
        <w:rPr>
          <w:rFonts w:ascii="Times New Roman" w:eastAsia="Times New Roman" w:hAnsi="Times New Roman" w:cs="Times New Roman"/>
          <w:bCs/>
          <w:color w:val="000000" w:themeColor="text1"/>
          <w:sz w:val="24"/>
          <w:szCs w:val="24"/>
          <w:lang w:eastAsia="en-IN"/>
        </w:rPr>
        <w:t>.</w:t>
      </w:r>
      <w:r w:rsidR="00EE554C" w:rsidRPr="00375C89">
        <w:rPr>
          <w:rFonts w:ascii="Times New Roman" w:eastAsia="Times New Roman" w:hAnsi="Times New Roman" w:cs="Times New Roman"/>
          <w:bCs/>
          <w:color w:val="000000" w:themeColor="text1"/>
          <w:sz w:val="24"/>
          <w:szCs w:val="24"/>
          <w:lang w:eastAsia="en-IN"/>
        </w:rPr>
        <w:t xml:space="preserve"> </w:t>
      </w:r>
    </w:p>
    <w:p w14:paraId="3359F6C1" w14:textId="1D5C2082" w:rsidR="00F169B4" w:rsidRPr="00375C89" w:rsidRDefault="00FD7266" w:rsidP="00FD7266">
      <w:pPr>
        <w:rPr>
          <w:rFonts w:ascii="Times New Roman" w:eastAsia="Times New Roman" w:hAnsi="Times New Roman" w:cs="Times New Roman"/>
          <w:bCs/>
          <w:color w:val="000000" w:themeColor="text1"/>
          <w:sz w:val="24"/>
          <w:szCs w:val="24"/>
          <w:lang w:eastAsia="en-IN"/>
        </w:rPr>
      </w:pPr>
      <w:r w:rsidRPr="00375C89">
        <w:rPr>
          <w:rFonts w:ascii="Times New Roman" w:eastAsia="Times New Roman" w:hAnsi="Times New Roman" w:cs="Times New Roman"/>
          <w:bCs/>
          <w:color w:val="000000" w:themeColor="text1"/>
          <w:sz w:val="24"/>
          <w:szCs w:val="24"/>
          <w:lang w:eastAsia="en-IN"/>
        </w:rPr>
        <w:br w:type="page"/>
      </w:r>
    </w:p>
    <w:p w14:paraId="20C43C9B" w14:textId="24F07CED" w:rsidR="005F1337" w:rsidRPr="00375C89" w:rsidRDefault="00381EEE" w:rsidP="002F1A8C">
      <w:pPr>
        <w:pStyle w:val="ListParagraph"/>
        <w:numPr>
          <w:ilvl w:val="0"/>
          <w:numId w:val="12"/>
        </w:numPr>
        <w:ind w:left="426" w:hanging="229"/>
        <w:jc w:val="center"/>
        <w:rPr>
          <w:rFonts w:ascii="Times New Roman" w:hAnsi="Times New Roman" w:cs="Times New Roman"/>
          <w:bCs/>
          <w:sz w:val="24"/>
          <w:szCs w:val="24"/>
          <w:lang w:val="en-US"/>
        </w:rPr>
      </w:pPr>
      <w:r w:rsidRPr="00375C89">
        <w:rPr>
          <w:rFonts w:ascii="Times New Roman" w:hAnsi="Times New Roman" w:cs="Times New Roman"/>
          <w:bCs/>
          <w:sz w:val="24"/>
          <w:szCs w:val="24"/>
          <w:lang w:val="en-US"/>
        </w:rPr>
        <w:lastRenderedPageBreak/>
        <w:t>INTRODUCTION</w:t>
      </w:r>
    </w:p>
    <w:p w14:paraId="1022ABBE" w14:textId="28E599BC" w:rsidR="00260EA6" w:rsidRDefault="005F1337" w:rsidP="008243F7">
      <w:pPr>
        <w:spacing w:after="0" w:line="360" w:lineRule="auto"/>
        <w:jc w:val="both"/>
        <w:rPr>
          <w:rFonts w:ascii="Times New Roman" w:hAnsi="Times New Roman" w:cs="Times New Roman"/>
          <w:sz w:val="24"/>
          <w:szCs w:val="24"/>
        </w:rPr>
      </w:pPr>
      <w:r w:rsidRPr="00375C89">
        <w:rPr>
          <w:rFonts w:ascii="Times New Roman" w:hAnsi="Times New Roman" w:cs="Times New Roman"/>
          <w:sz w:val="24"/>
          <w:szCs w:val="24"/>
        </w:rPr>
        <w:t xml:space="preserve">. </w:t>
      </w:r>
    </w:p>
    <w:p w14:paraId="54274C75" w14:textId="4A84F112" w:rsidR="005F1337" w:rsidRPr="00375C89" w:rsidRDefault="00260EA6" w:rsidP="008243F7">
      <w:pPr>
        <w:spacing w:after="0" w:line="360" w:lineRule="auto"/>
        <w:jc w:val="both"/>
        <w:rPr>
          <w:rFonts w:ascii="Times New Roman" w:hAnsi="Times New Roman" w:cs="Times New Roman"/>
          <w:sz w:val="24"/>
          <w:szCs w:val="24"/>
        </w:rPr>
      </w:pPr>
      <w:r w:rsidRPr="00260EA6">
        <w:rPr>
          <w:rFonts w:ascii="Times New Roman" w:hAnsi="Times New Roman" w:cs="Times New Roman"/>
          <w:sz w:val="24"/>
          <w:szCs w:val="24"/>
        </w:rPr>
        <w:t>The human vaginal microbiome is a highly specialized and dynamic ecosystem that is essential for maintaining reproductive health.</w:t>
      </w:r>
      <w:r>
        <w:rPr>
          <w:rFonts w:ascii="Times New Roman" w:hAnsi="Times New Roman" w:cs="Times New Roman"/>
          <w:sz w:val="24"/>
          <w:szCs w:val="24"/>
        </w:rPr>
        <w:t xml:space="preserve"> </w:t>
      </w:r>
      <w:r w:rsidR="005F1337" w:rsidRPr="00375C89">
        <w:rPr>
          <w:rFonts w:ascii="Times New Roman" w:hAnsi="Times New Roman" w:cs="Times New Roman"/>
          <w:sz w:val="24"/>
          <w:szCs w:val="24"/>
        </w:rPr>
        <w:t>Traditionally, this microbial community has been c​characterised by the predominance of Lactobacillus species, which contribute to maintaining an acidic vaginal environment and inhibiting the growth of pathogenic organisms. While this compositional perspective has provided foundational insights, it offers a limited understanding of the complex biological processes that govern vaginal health and related diseases (Huang et al. 2014). Recent advances in high-throughput sequencing and multi-omics technologies have revealed that microbial communities cannot be fully understood through taxonomic profiling alone. Instead, increasing evidence highlights the importance of functional attributes, including microbial metabolite production, host–microbe signalling, and immune modulation. These functional interactions regulate key processes such as epithelial barrier integrity, mucosal immunity, and inflammatory responses, which are critical for maintaining vaginal homeostasis. Within this context, vaginal dysbiosis is no longer viewed simply as a shift in microbial composition but rather as a disruption of functional homeostasis (Ravel et al. 2011). This includes alterations in metabolic activity, dysregulated immune signalling, and compromised epithelial barriers, collectively contributing to disease susceptibility. Such functional dysregulation has been implicated in a wide range of clinical conditions, including bacterial vaginosis, sexually transmitted infections, infertility, and adverse pregnancy outcomes (Ojo et al. 2025). Despite substantial progress in c​characterizing the vaginal microbiome, current therapeutic strategies remain limited by high recurrence rates and inconsistent clinical outcomes. These limitations reflect an incomplete understanding of the underlying mechanisms driving dysbiosis and highlight the need for a more integrative approach (Amabebe et al. 2018). In response to these challenges, there is a growing shift toward a systems-level perspective, which integrates microbial composition with functional activity and host responses. This approach provides a more comprehensive framework for understanding the dynamic interactions that define vaginal health and diseases. Therefore, the present review aims to move beyond a descriptive, composition-based framework, instead proposes a functional model of vaginal dysbiosis,</w:t>
      </w:r>
      <w:r w:rsidRPr="00375C89">
        <w:rPr>
          <w:rFonts w:ascii="Times New Roman" w:hAnsi="Times New Roman" w:cs="Times New Roman"/>
          <w:sz w:val="24"/>
          <w:szCs w:val="24"/>
        </w:rPr>
        <w:t>​emphasizing</w:t>
      </w:r>
      <w:r w:rsidR="005F1337" w:rsidRPr="00375C89">
        <w:rPr>
          <w:rFonts w:ascii="Times New Roman" w:hAnsi="Times New Roman" w:cs="Times New Roman"/>
          <w:sz w:val="24"/>
          <w:szCs w:val="24"/>
        </w:rPr>
        <w:t xml:space="preserve"> the interplay between microbial metabolism, host immune responses, and epithelial integrity. By encompassing current evidence across molecular, clinical, and </w:t>
      </w:r>
      <w:r w:rsidR="005F1337" w:rsidRPr="00375C89">
        <w:rPr>
          <w:rFonts w:ascii="Times New Roman" w:hAnsi="Times New Roman" w:cs="Times New Roman"/>
          <w:sz w:val="24"/>
          <w:szCs w:val="24"/>
        </w:rPr>
        <w:lastRenderedPageBreak/>
        <w:t>translational domains, this review aims to provide new insights into the mechanisms of dysbiosis and highlight emerging opportunities for precision microbiome-based therapeutics</w:t>
      </w:r>
    </w:p>
    <w:p w14:paraId="02AD0491" w14:textId="77777777" w:rsidR="005F1337" w:rsidRPr="00375C89" w:rsidRDefault="005F1337" w:rsidP="008243F7">
      <w:pPr>
        <w:spacing w:after="0" w:line="360" w:lineRule="auto"/>
        <w:jc w:val="both"/>
        <w:rPr>
          <w:rFonts w:ascii="Times New Roman" w:hAnsi="Times New Roman" w:cs="Times New Roman"/>
          <w:b/>
          <w:bCs/>
          <w:sz w:val="24"/>
          <w:szCs w:val="24"/>
        </w:rPr>
      </w:pPr>
    </w:p>
    <w:p w14:paraId="70E8D484" w14:textId="113D9D23" w:rsidR="004D7C6E" w:rsidRPr="00375C89" w:rsidRDefault="005D6A66" w:rsidP="00381EEE">
      <w:pPr>
        <w:pStyle w:val="ListParagraph"/>
        <w:numPr>
          <w:ilvl w:val="0"/>
          <w:numId w:val="12"/>
        </w:numPr>
        <w:spacing w:line="360" w:lineRule="auto"/>
        <w:ind w:hanging="371"/>
        <w:jc w:val="center"/>
        <w:rPr>
          <w:rFonts w:ascii="Times New Roman" w:hAnsi="Times New Roman" w:cs="Times New Roman"/>
          <w:sz w:val="24"/>
          <w:szCs w:val="24"/>
        </w:rPr>
      </w:pPr>
      <w:r>
        <w:rPr>
          <w:rFonts w:ascii="Times New Roman" w:hAnsi="Times New Roman" w:cs="Times New Roman"/>
          <w:sz w:val="24"/>
          <w:szCs w:val="24"/>
        </w:rPr>
        <w:t>CONCEPTUAL FRAMEWORK</w:t>
      </w:r>
      <w:r w:rsidR="00381EEE" w:rsidRPr="00375C89">
        <w:rPr>
          <w:rFonts w:ascii="Times New Roman" w:hAnsi="Times New Roman" w:cs="Times New Roman"/>
          <w:sz w:val="24"/>
          <w:szCs w:val="24"/>
        </w:rPr>
        <w:t xml:space="preserve"> FROM</w:t>
      </w:r>
      <w:r w:rsidR="00094F0E">
        <w:rPr>
          <w:rFonts w:ascii="Times New Roman" w:hAnsi="Times New Roman" w:cs="Times New Roman"/>
          <w:sz w:val="24"/>
          <w:szCs w:val="24"/>
        </w:rPr>
        <w:t xml:space="preserve"> </w:t>
      </w:r>
      <w:r w:rsidR="00094F0E" w:rsidRPr="00375C89">
        <w:rPr>
          <w:rFonts w:ascii="Times New Roman" w:hAnsi="Times New Roman" w:cs="Times New Roman"/>
          <w:sz w:val="24"/>
          <w:szCs w:val="24"/>
        </w:rPr>
        <w:t>FUNCTIONAL</w:t>
      </w:r>
      <w:r w:rsidR="00381EEE" w:rsidRPr="00375C89">
        <w:rPr>
          <w:rFonts w:ascii="Times New Roman" w:hAnsi="Times New Roman" w:cs="Times New Roman"/>
          <w:sz w:val="24"/>
          <w:szCs w:val="24"/>
        </w:rPr>
        <w:t xml:space="preserve"> EUBIOSIS TO DYSBIOSIS</w:t>
      </w:r>
    </w:p>
    <w:p w14:paraId="5AF0AE26" w14:textId="3BC67A6C" w:rsidR="005F1337" w:rsidRPr="00375C89" w:rsidRDefault="005F1337" w:rsidP="005F1337">
      <w:pPr>
        <w:pStyle w:val="ListParagraph"/>
        <w:tabs>
          <w:tab w:val="left" w:pos="142"/>
        </w:tabs>
        <w:spacing w:line="360" w:lineRule="auto"/>
        <w:ind w:left="0"/>
        <w:jc w:val="both"/>
        <w:rPr>
          <w:rFonts w:ascii="Times New Roman" w:hAnsi="Times New Roman" w:cs="Times New Roman"/>
          <w:sz w:val="24"/>
          <w:szCs w:val="24"/>
        </w:rPr>
      </w:pPr>
      <w:r w:rsidRPr="00375C89">
        <w:rPr>
          <w:rFonts w:ascii="Times New Roman" w:hAnsi="Times New Roman" w:cs="Times New Roman"/>
          <w:sz w:val="24"/>
          <w:szCs w:val="24"/>
        </w:rPr>
        <w:t>Historically, vaginal health has been linked to the predominance of lacto</w:t>
      </w:r>
      <w:r w:rsidR="00D978E5" w:rsidRPr="00375C89">
        <w:rPr>
          <w:rFonts w:ascii="Times New Roman" w:hAnsi="Times New Roman" w:cs="Times New Roman"/>
          <w:sz w:val="24"/>
          <w:szCs w:val="24"/>
        </w:rPr>
        <w:t xml:space="preserve">bacilli, while dysbiosis </w:t>
      </w:r>
      <w:r w:rsidR="00260EA6" w:rsidRPr="00375C89">
        <w:rPr>
          <w:rFonts w:ascii="Times New Roman" w:hAnsi="Times New Roman" w:cs="Times New Roman"/>
          <w:sz w:val="24"/>
          <w:szCs w:val="24"/>
        </w:rPr>
        <w:t>was characterized</w:t>
      </w:r>
      <w:r w:rsidRPr="00375C89">
        <w:rPr>
          <w:rFonts w:ascii="Times New Roman" w:hAnsi="Times New Roman" w:cs="Times New Roman"/>
          <w:sz w:val="24"/>
          <w:szCs w:val="24"/>
        </w:rPr>
        <w:t xml:space="preserve"> by the absence of lactobacilli and a greater number of microorganisms. Yet, recent findings indicate that microbial content alone cannot be used to predict an individual’s risk for </w:t>
      </w:r>
      <w:r w:rsidR="00D978E5" w:rsidRPr="00375C89">
        <w:rPr>
          <w:rFonts w:ascii="Times New Roman" w:hAnsi="Times New Roman" w:cs="Times New Roman"/>
          <w:sz w:val="24"/>
          <w:szCs w:val="24"/>
        </w:rPr>
        <w:t>illnesses</w:t>
      </w:r>
      <w:r w:rsidR="00260EA6" w:rsidRPr="00375C89">
        <w:rPr>
          <w:rFonts w:ascii="Times New Roman" w:hAnsi="Times New Roman" w:cs="Times New Roman"/>
          <w:sz w:val="24"/>
          <w:szCs w:val="24"/>
        </w:rPr>
        <w:t>, recurrence</w:t>
      </w:r>
      <w:r w:rsidRPr="00375C89">
        <w:rPr>
          <w:rFonts w:ascii="Times New Roman" w:hAnsi="Times New Roman" w:cs="Times New Roman"/>
          <w:sz w:val="24"/>
          <w:szCs w:val="24"/>
        </w:rPr>
        <w:t xml:space="preserve"> of disease​s, and susceptibility to treatment. Rather, vaginal health should be viewed as a functional process modulated by metabolic and ecological factors (Borrego et al. 2025). Thus, vaginal dysbiosis is not merely a binary transition from a “normal” to an “abnormal” microbiome. It is, in fact, a gradient of functional instability where metabolic, immunologic, epithelial, and microbial balance is disturbed. Patients with identical vaginal microbiomes can present with diverse symptoms based on the functional status of their microbiomes and individual reactions (Graeber et al. 2025). ​</w:t>
      </w:r>
      <w:r w:rsidR="009D3A92" w:rsidRPr="00375C89">
        <w:rPr>
          <w:rFonts w:ascii="Times New Roman" w:hAnsi="Times New Roman" w:cs="Times New Roman"/>
          <w:sz w:val="24"/>
          <w:szCs w:val="24"/>
        </w:rPr>
        <w:t>To</w:t>
      </w:r>
      <w:r w:rsidRPr="00375C89">
        <w:rPr>
          <w:rFonts w:ascii="Times New Roman" w:hAnsi="Times New Roman" w:cs="Times New Roman"/>
          <w:sz w:val="24"/>
          <w:szCs w:val="24"/>
        </w:rPr>
        <w:t xml:space="preserve"> understand this phenomenon, we have devised a system-based “Functional Dysbiosis Axis,” which include</w:t>
      </w:r>
      <w:r w:rsidR="009D3A92" w:rsidRPr="00375C89">
        <w:rPr>
          <w:rFonts w:ascii="Times New Roman" w:hAnsi="Times New Roman" w:cs="Times New Roman"/>
          <w:sz w:val="24"/>
          <w:szCs w:val="24"/>
        </w:rPr>
        <w:t>s the following four dimensions given hereunder.</w:t>
      </w:r>
    </w:p>
    <w:p w14:paraId="7CF0C4F8" w14:textId="77777777" w:rsidR="00381EEE" w:rsidRPr="00375C89" w:rsidRDefault="00381EEE" w:rsidP="008038F1">
      <w:pPr>
        <w:pStyle w:val="ListParagraph"/>
        <w:spacing w:line="360" w:lineRule="auto"/>
        <w:ind w:left="0"/>
        <w:jc w:val="both"/>
        <w:rPr>
          <w:rFonts w:ascii="Times New Roman" w:hAnsi="Times New Roman" w:cs="Times New Roman"/>
          <w:sz w:val="24"/>
          <w:szCs w:val="24"/>
        </w:rPr>
      </w:pPr>
    </w:p>
    <w:p w14:paraId="0D402D7E" w14:textId="258C3D5C" w:rsidR="008038F1" w:rsidRPr="00375C89" w:rsidRDefault="00B85F57" w:rsidP="00381EEE">
      <w:pPr>
        <w:pStyle w:val="ListParagraph"/>
        <w:numPr>
          <w:ilvl w:val="0"/>
          <w:numId w:val="13"/>
        </w:numPr>
        <w:spacing w:line="360" w:lineRule="auto"/>
        <w:ind w:left="142" w:hanging="142"/>
        <w:jc w:val="both"/>
        <w:rPr>
          <w:rFonts w:ascii="Times New Roman" w:hAnsi="Times New Roman" w:cs="Times New Roman"/>
          <w:i/>
          <w:iCs/>
          <w:sz w:val="24"/>
          <w:szCs w:val="24"/>
        </w:rPr>
      </w:pPr>
      <w:r w:rsidRPr="00375C89">
        <w:rPr>
          <w:rFonts w:ascii="Times New Roman" w:hAnsi="Times New Roman" w:cs="Times New Roman"/>
          <w:i/>
          <w:iCs/>
          <w:sz w:val="24"/>
          <w:szCs w:val="24"/>
        </w:rPr>
        <w:t>Metabolic Axis</w:t>
      </w:r>
      <w:r w:rsidR="00381EEE"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The microbial metabolites like lactic acid keep the pH value low in the vagina to prevent any pathogens from growing. In dysbiosis, metabolite changes like SCFAs and bioactive amines cause inflammation and epithelial dysfunction.</w:t>
      </w:r>
    </w:p>
    <w:p w14:paraId="415CEA08" w14:textId="723121EE" w:rsidR="008038F1" w:rsidRPr="00375C89" w:rsidRDefault="00B85F57" w:rsidP="008038F1">
      <w:pPr>
        <w:pStyle w:val="ListParagraph"/>
        <w:numPr>
          <w:ilvl w:val="0"/>
          <w:numId w:val="13"/>
        </w:numPr>
        <w:spacing w:after="0" w:line="360" w:lineRule="auto"/>
        <w:ind w:left="142" w:hanging="142"/>
        <w:jc w:val="both"/>
        <w:rPr>
          <w:rFonts w:ascii="Times New Roman" w:hAnsi="Times New Roman" w:cs="Times New Roman"/>
          <w:i/>
          <w:iCs/>
          <w:sz w:val="24"/>
          <w:szCs w:val="24"/>
        </w:rPr>
      </w:pPr>
      <w:r w:rsidRPr="00375C89">
        <w:rPr>
          <w:rFonts w:ascii="Times New Roman" w:hAnsi="Times New Roman" w:cs="Times New Roman"/>
          <w:i/>
          <w:iCs/>
          <w:sz w:val="24"/>
          <w:szCs w:val="24"/>
        </w:rPr>
        <w:t>Immune Axis</w:t>
      </w:r>
      <w:r w:rsidR="00381EEE"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Microbiota control cytokine production and immune response within the mucosa. Dysbiosis activates inflammation via the Toll-like receptor and nuclear factor-kappa B pathways, causing chronic inflammation and poor infection resolution.</w:t>
      </w:r>
    </w:p>
    <w:p w14:paraId="2F685B53" w14:textId="67674976" w:rsidR="008038F1" w:rsidRPr="00375C89" w:rsidRDefault="008038F1" w:rsidP="008038F1">
      <w:pPr>
        <w:pStyle w:val="ListParagraph"/>
        <w:numPr>
          <w:ilvl w:val="1"/>
          <w:numId w:val="14"/>
        </w:numPr>
        <w:spacing w:after="0" w:line="360" w:lineRule="auto"/>
        <w:ind w:left="142" w:hanging="142"/>
        <w:jc w:val="both"/>
        <w:rPr>
          <w:rFonts w:ascii="Times New Roman" w:hAnsi="Times New Roman" w:cs="Times New Roman"/>
          <w:i/>
          <w:iCs/>
          <w:sz w:val="24"/>
          <w:szCs w:val="24"/>
        </w:rPr>
      </w:pPr>
      <w:r w:rsidRPr="00375C89">
        <w:rPr>
          <w:rFonts w:ascii="Times New Roman" w:hAnsi="Times New Roman" w:cs="Times New Roman"/>
          <w:i/>
          <w:iCs/>
          <w:sz w:val="24"/>
          <w:szCs w:val="24"/>
        </w:rPr>
        <w:t>Epithelial Barrier Axis</w:t>
      </w:r>
      <w:r w:rsidR="00381EEE" w:rsidRPr="00375C89">
        <w:rPr>
          <w:rFonts w:ascii="Times New Roman" w:hAnsi="Times New Roman" w:cs="Times New Roman"/>
          <w:i/>
          <w:iCs/>
          <w:sz w:val="24"/>
          <w:szCs w:val="24"/>
        </w:rPr>
        <w:t xml:space="preserve">: </w:t>
      </w:r>
      <w:r w:rsidRPr="00375C89">
        <w:rPr>
          <w:rFonts w:ascii="Times New Roman" w:hAnsi="Times New Roman" w:cs="Times New Roman"/>
          <w:sz w:val="24"/>
          <w:szCs w:val="24"/>
        </w:rPr>
        <w:t>The normal vaginal microbiota maintains epithelial cell structure and tight junctions. Dysbiosis causes damage to the mucosal barrier via sialidase activity, proteases, and oxidative stress, allowing pathogen entry and ascending infections.</w:t>
      </w:r>
    </w:p>
    <w:p w14:paraId="7D51E925" w14:textId="6D2AEABD" w:rsidR="008038F1" w:rsidRPr="00375C89" w:rsidRDefault="00B85F57" w:rsidP="00381EEE">
      <w:pPr>
        <w:pStyle w:val="ListParagraph"/>
        <w:numPr>
          <w:ilvl w:val="1"/>
          <w:numId w:val="10"/>
        </w:numPr>
        <w:spacing w:after="0" w:line="360" w:lineRule="auto"/>
        <w:ind w:left="142" w:hanging="142"/>
        <w:jc w:val="both"/>
        <w:rPr>
          <w:rFonts w:ascii="Times New Roman" w:hAnsi="Times New Roman" w:cs="Times New Roman"/>
          <w:i/>
          <w:iCs/>
          <w:sz w:val="24"/>
          <w:szCs w:val="24"/>
        </w:rPr>
      </w:pPr>
      <w:r w:rsidRPr="00375C89">
        <w:rPr>
          <w:rFonts w:ascii="Times New Roman" w:hAnsi="Times New Roman" w:cs="Times New Roman"/>
          <w:i/>
          <w:iCs/>
          <w:sz w:val="24"/>
          <w:szCs w:val="24"/>
        </w:rPr>
        <w:t>Ecological Axis</w:t>
      </w:r>
      <w:r w:rsidR="00381EEE"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Vaginal Microbiome is a Dynamic Ecosystem. Dysbiosis causes ecosystem instability, biofilm production, and decreased microbial resilience, causing ongoing disease.</w:t>
      </w:r>
    </w:p>
    <w:p w14:paraId="61C5B9B4" w14:textId="3E63CE7F" w:rsidR="008038F1" w:rsidRPr="00375C89" w:rsidRDefault="008038F1" w:rsidP="008038F1">
      <w:pPr>
        <w:pStyle w:val="ListParagraph"/>
        <w:spacing w:line="360" w:lineRule="auto"/>
        <w:ind w:left="0"/>
        <w:jc w:val="both"/>
        <w:rPr>
          <w:rFonts w:ascii="Times New Roman" w:hAnsi="Times New Roman" w:cs="Times New Roman"/>
          <w:sz w:val="24"/>
          <w:szCs w:val="24"/>
        </w:rPr>
      </w:pPr>
      <w:r w:rsidRPr="00375C89">
        <w:rPr>
          <w:rFonts w:ascii="Times New Roman" w:hAnsi="Times New Roman" w:cs="Times New Roman"/>
          <w:sz w:val="24"/>
          <w:szCs w:val="24"/>
        </w:rPr>
        <w:t xml:space="preserve">Together, all of the above constitute the new axes for redefining vaginal dysbiosis as a functional condition, rather than just an imbalance. This could help explain recurrent disease, </w:t>
      </w:r>
      <w:r w:rsidRPr="00375C89">
        <w:rPr>
          <w:rFonts w:ascii="Times New Roman" w:hAnsi="Times New Roman" w:cs="Times New Roman"/>
          <w:sz w:val="24"/>
          <w:szCs w:val="24"/>
        </w:rPr>
        <w:lastRenderedPageBreak/>
        <w:t>treatment outcomes variability, and the shortcomings of composition-based approaches to treating dysbiosis</w:t>
      </w:r>
      <w:r w:rsidR="005971E6" w:rsidRPr="00375C89">
        <w:rPr>
          <w:rFonts w:ascii="Times New Roman" w:hAnsi="Times New Roman" w:cs="Times New Roman"/>
          <w:sz w:val="24"/>
          <w:szCs w:val="24"/>
        </w:rPr>
        <w:t xml:space="preserve"> (Graeber et al. 2025)</w:t>
      </w:r>
      <w:r w:rsidRPr="00375C89">
        <w:rPr>
          <w:rFonts w:ascii="Times New Roman" w:hAnsi="Times New Roman" w:cs="Times New Roman"/>
          <w:sz w:val="24"/>
          <w:szCs w:val="24"/>
        </w:rPr>
        <w:t>.</w:t>
      </w:r>
    </w:p>
    <w:p w14:paraId="0F5FBC2D" w14:textId="77777777" w:rsidR="008038F1" w:rsidRPr="00375C89" w:rsidRDefault="008038F1" w:rsidP="008038F1">
      <w:pPr>
        <w:pStyle w:val="ListParagraph"/>
        <w:spacing w:line="360" w:lineRule="auto"/>
        <w:ind w:left="0"/>
        <w:jc w:val="both"/>
        <w:rPr>
          <w:rFonts w:ascii="Times New Roman" w:hAnsi="Times New Roman" w:cs="Times New Roman"/>
          <w:sz w:val="24"/>
          <w:szCs w:val="24"/>
        </w:rPr>
      </w:pPr>
    </w:p>
    <w:p w14:paraId="381A5586" w14:textId="7FCA7CC4" w:rsidR="004D7C6E" w:rsidRPr="00375C89" w:rsidRDefault="00381EEE" w:rsidP="00381EEE">
      <w:pPr>
        <w:pStyle w:val="ListParagraph"/>
        <w:numPr>
          <w:ilvl w:val="0"/>
          <w:numId w:val="12"/>
        </w:numPr>
        <w:spacing w:line="360" w:lineRule="auto"/>
        <w:ind w:hanging="371"/>
        <w:jc w:val="center"/>
        <w:rPr>
          <w:rFonts w:ascii="Times New Roman" w:hAnsi="Times New Roman" w:cs="Times New Roman"/>
          <w:bCs/>
          <w:sz w:val="24"/>
          <w:szCs w:val="24"/>
        </w:rPr>
      </w:pPr>
      <w:r w:rsidRPr="00375C89">
        <w:rPr>
          <w:rFonts w:ascii="Times New Roman" w:hAnsi="Times New Roman" w:cs="Times New Roman"/>
          <w:bCs/>
          <w:sz w:val="24"/>
          <w:szCs w:val="24"/>
        </w:rPr>
        <w:t>VAGINAL DYSBIOSIS AND SYSTEMIC DISEASE ASSOCIATIONS</w:t>
      </w:r>
    </w:p>
    <w:p w14:paraId="1687F4CD" w14:textId="121EF291" w:rsidR="00B170D6" w:rsidRPr="00375C89" w:rsidRDefault="00A73994" w:rsidP="00B170D6">
      <w:pPr>
        <w:pStyle w:val="ListParagraph"/>
        <w:numPr>
          <w:ilvl w:val="0"/>
          <w:numId w:val="10"/>
        </w:numPr>
        <w:spacing w:line="360" w:lineRule="auto"/>
        <w:ind w:left="284" w:hanging="218"/>
        <w:jc w:val="both"/>
        <w:rPr>
          <w:rFonts w:ascii="Times New Roman" w:hAnsi="Times New Roman" w:cs="Times New Roman"/>
          <w:b/>
          <w:sz w:val="24"/>
          <w:szCs w:val="24"/>
        </w:rPr>
      </w:pPr>
      <w:r w:rsidRPr="00375C89">
        <w:rPr>
          <w:rFonts w:ascii="Times New Roman" w:eastAsia="Times New Roman" w:hAnsi="Times New Roman" w:cs="Times New Roman"/>
          <w:i/>
          <w:iCs/>
          <w:sz w:val="24"/>
          <w:szCs w:val="24"/>
          <w:lang w:eastAsia="en-IN"/>
        </w:rPr>
        <w:t>HPV Persistence and Cervical Carcinogenesis</w:t>
      </w:r>
      <w:r w:rsidR="00B170D6" w:rsidRPr="00375C89">
        <w:rPr>
          <w:rFonts w:ascii="Times New Roman" w:hAnsi="Times New Roman" w:cs="Times New Roman"/>
          <w:i/>
          <w:iCs/>
          <w:sz w:val="24"/>
          <w:szCs w:val="24"/>
        </w:rPr>
        <w:t>:</w:t>
      </w:r>
      <w:r w:rsidR="00B170D6" w:rsidRPr="00375C89">
        <w:rPr>
          <w:rFonts w:ascii="Times New Roman" w:hAnsi="Times New Roman" w:cs="Times New Roman"/>
          <w:b/>
          <w:sz w:val="24"/>
          <w:szCs w:val="24"/>
        </w:rPr>
        <w:t xml:space="preserve"> </w:t>
      </w:r>
      <w:r w:rsidR="008038F1" w:rsidRPr="00375C89">
        <w:rPr>
          <w:rFonts w:ascii="Times New Roman" w:eastAsia="Times New Roman" w:hAnsi="Times New Roman" w:cs="Times New Roman"/>
          <w:sz w:val="24"/>
          <w:szCs w:val="24"/>
          <w:lang w:eastAsia="en-IN"/>
        </w:rPr>
        <w:t>A sustained infection with high-risk HPV alone does not result in cervical carcinogenesis since most infections clear up on their own. More and more studies have shown that vaginal dysbiosis, especially those that are not dominated by Lactobacilli, can lead to HPV persistence and progression to cervical intraepithelial neoplasia and cervical cancer. The presence of CST IV microbes, which have lower Lactobacillus density and higher microbial diversity, is significantly correlated with HPV persistence and inflammation induction (Bautista et al. 2025).</w:t>
      </w:r>
    </w:p>
    <w:p w14:paraId="5C8E9F71" w14:textId="2284A797" w:rsidR="008038F1" w:rsidRPr="00375C89" w:rsidRDefault="00A73994" w:rsidP="00B170D6">
      <w:pPr>
        <w:pStyle w:val="ListParagraph"/>
        <w:numPr>
          <w:ilvl w:val="0"/>
          <w:numId w:val="15"/>
        </w:numPr>
        <w:spacing w:before="100" w:beforeAutospacing="1" w:after="100" w:afterAutospacing="1" w:line="360" w:lineRule="auto"/>
        <w:ind w:left="142" w:hanging="142"/>
        <w:jc w:val="both"/>
        <w:outlineLvl w:val="2"/>
        <w:rPr>
          <w:rFonts w:ascii="Times New Roman" w:eastAsia="Times New Roman" w:hAnsi="Times New Roman" w:cs="Times New Roman"/>
          <w:sz w:val="24"/>
          <w:szCs w:val="24"/>
          <w:lang w:eastAsia="en-IN"/>
        </w:rPr>
      </w:pPr>
      <w:r w:rsidRPr="00375C89">
        <w:rPr>
          <w:rFonts w:ascii="Times New Roman" w:eastAsia="Times New Roman" w:hAnsi="Times New Roman" w:cs="Times New Roman"/>
          <w:i/>
          <w:iCs/>
          <w:sz w:val="24"/>
          <w:szCs w:val="24"/>
          <w:lang w:eastAsia="en-IN"/>
        </w:rPr>
        <w:t>Vaginal Dysbiosis and Implantation Failure in ART</w:t>
      </w:r>
      <w:r w:rsidR="00B170D6" w:rsidRPr="00375C89">
        <w:rPr>
          <w:rFonts w:ascii="Times New Roman" w:eastAsia="Times New Roman" w:hAnsi="Times New Roman" w:cs="Times New Roman"/>
          <w:i/>
          <w:iCs/>
          <w:sz w:val="24"/>
          <w:szCs w:val="24"/>
          <w:lang w:eastAsia="en-IN"/>
        </w:rPr>
        <w:t>:</w:t>
      </w:r>
      <w:r w:rsidR="00B170D6" w:rsidRPr="00375C89">
        <w:rPr>
          <w:rFonts w:ascii="Times New Roman" w:eastAsia="Times New Roman" w:hAnsi="Times New Roman" w:cs="Times New Roman"/>
          <w:sz w:val="24"/>
          <w:szCs w:val="24"/>
          <w:lang w:eastAsia="en-IN"/>
        </w:rPr>
        <w:t xml:space="preserve"> </w:t>
      </w:r>
      <w:r w:rsidR="008038F1" w:rsidRPr="00375C89">
        <w:rPr>
          <w:rFonts w:ascii="Times New Roman" w:eastAsia="Times New Roman" w:hAnsi="Times New Roman" w:cs="Times New Roman"/>
          <w:sz w:val="24"/>
          <w:szCs w:val="24"/>
          <w:lang w:eastAsia="en-IN"/>
        </w:rPr>
        <w:t>The dysbiotic vaginal microbial composition is linked with decreased implantation and pregnancy outcomes in assisted reproductive technologies (ARTs). There is evidence that women with vaginal microbiota non-dominant for Lactobacillus have significantly fewer implantations than Lactobacillus-dominant vaginal microbiotas. The functional interplay between vaginal and endometrial microbes results in poor endometrial receptivity, chronic inflammation, and altered immunological tolerance. Microbiome models have shown excellent predictability for implantation success and recurrent implantation failure (Su et al. 2024).</w:t>
      </w:r>
    </w:p>
    <w:p w14:paraId="7658679F" w14:textId="7959D01A" w:rsidR="008038F1" w:rsidRPr="00375C89" w:rsidRDefault="00A73994" w:rsidP="00B170D6">
      <w:pPr>
        <w:pStyle w:val="ListParagraph"/>
        <w:numPr>
          <w:ilvl w:val="0"/>
          <w:numId w:val="15"/>
        </w:numPr>
        <w:spacing w:before="100" w:beforeAutospacing="1" w:after="100" w:afterAutospacing="1" w:line="360" w:lineRule="auto"/>
        <w:ind w:left="142" w:hanging="142"/>
        <w:jc w:val="both"/>
        <w:outlineLvl w:val="2"/>
        <w:rPr>
          <w:rFonts w:ascii="Times New Roman" w:eastAsia="Times New Roman" w:hAnsi="Times New Roman" w:cs="Times New Roman"/>
          <w:b/>
          <w:bCs/>
          <w:sz w:val="24"/>
          <w:szCs w:val="24"/>
          <w:lang w:eastAsia="en-IN"/>
        </w:rPr>
      </w:pPr>
      <w:r w:rsidRPr="00375C89">
        <w:rPr>
          <w:rFonts w:ascii="Times New Roman" w:eastAsia="Times New Roman" w:hAnsi="Times New Roman" w:cs="Times New Roman"/>
          <w:i/>
          <w:iCs/>
          <w:sz w:val="24"/>
          <w:szCs w:val="24"/>
          <w:lang w:eastAsia="en-IN"/>
        </w:rPr>
        <w:t>Metabolic and Immune Mechanisms of Implantation Failure</w:t>
      </w:r>
      <w:r w:rsidR="00B170D6" w:rsidRPr="00375C89">
        <w:rPr>
          <w:rFonts w:ascii="Times New Roman" w:eastAsia="Times New Roman" w:hAnsi="Times New Roman" w:cs="Times New Roman"/>
          <w:i/>
          <w:iCs/>
          <w:sz w:val="24"/>
          <w:szCs w:val="24"/>
          <w:lang w:eastAsia="en-IN"/>
        </w:rPr>
        <w:t>:</w:t>
      </w:r>
      <w:r w:rsidR="00B170D6" w:rsidRPr="00375C89">
        <w:rPr>
          <w:rFonts w:ascii="Times New Roman" w:eastAsia="Times New Roman" w:hAnsi="Times New Roman" w:cs="Times New Roman"/>
          <w:b/>
          <w:bCs/>
          <w:sz w:val="24"/>
          <w:szCs w:val="24"/>
          <w:lang w:eastAsia="en-IN"/>
        </w:rPr>
        <w:t xml:space="preserve"> </w:t>
      </w:r>
      <w:r w:rsidR="008038F1" w:rsidRPr="00375C89">
        <w:rPr>
          <w:rFonts w:ascii="Times New Roman" w:eastAsia="Times New Roman" w:hAnsi="Times New Roman" w:cs="Times New Roman"/>
          <w:sz w:val="24"/>
          <w:szCs w:val="24"/>
          <w:lang w:eastAsia="en-IN"/>
        </w:rPr>
        <w:t>There is accumulating evidence indicating that metabolism alteration resulting from dysbiosis plays a role in preventing implantation. The presence of an over-representation of L-lysine metabolism pathways, deficiency in metabolites for Lactobacilli, and microbial migration to the endometrium cause a lack of endometrial receptivity (Su et al. 2024).</w:t>
      </w:r>
    </w:p>
    <w:p w14:paraId="0DD0CFC5" w14:textId="2961A869" w:rsidR="008038F1" w:rsidRPr="00375C89" w:rsidRDefault="00A73994" w:rsidP="00B170D6">
      <w:pPr>
        <w:pStyle w:val="ListParagraph"/>
        <w:numPr>
          <w:ilvl w:val="0"/>
          <w:numId w:val="15"/>
        </w:numPr>
        <w:spacing w:before="100" w:beforeAutospacing="1" w:after="100" w:afterAutospacing="1" w:line="360" w:lineRule="auto"/>
        <w:ind w:left="142" w:hanging="142"/>
        <w:jc w:val="both"/>
        <w:outlineLvl w:val="2"/>
        <w:rPr>
          <w:rFonts w:ascii="Times New Roman" w:eastAsia="Times New Roman" w:hAnsi="Times New Roman" w:cs="Times New Roman"/>
          <w:b/>
          <w:bCs/>
          <w:sz w:val="24"/>
          <w:szCs w:val="24"/>
          <w:lang w:eastAsia="en-IN"/>
        </w:rPr>
      </w:pPr>
      <w:r w:rsidRPr="00375C89">
        <w:rPr>
          <w:rFonts w:ascii="Times New Roman" w:eastAsia="Times New Roman" w:hAnsi="Times New Roman" w:cs="Times New Roman"/>
          <w:i/>
          <w:iCs/>
          <w:sz w:val="24"/>
          <w:szCs w:val="24"/>
          <w:lang w:eastAsia="en-IN"/>
        </w:rPr>
        <w:t>BV and Recurrent Pregnancy Loss</w:t>
      </w:r>
      <w:r w:rsidR="00B170D6" w:rsidRPr="00375C89">
        <w:rPr>
          <w:rFonts w:ascii="Times New Roman" w:eastAsia="Times New Roman" w:hAnsi="Times New Roman" w:cs="Times New Roman"/>
          <w:i/>
          <w:iCs/>
          <w:sz w:val="24"/>
          <w:szCs w:val="24"/>
          <w:lang w:eastAsia="en-IN"/>
        </w:rPr>
        <w:t>:</w:t>
      </w:r>
      <w:r w:rsidR="00B170D6" w:rsidRPr="00375C89">
        <w:rPr>
          <w:rFonts w:ascii="Times New Roman" w:eastAsia="Times New Roman" w:hAnsi="Times New Roman" w:cs="Times New Roman"/>
          <w:b/>
          <w:bCs/>
          <w:sz w:val="24"/>
          <w:szCs w:val="24"/>
          <w:lang w:eastAsia="en-IN"/>
        </w:rPr>
        <w:t xml:space="preserve"> </w:t>
      </w:r>
      <w:r w:rsidR="008038F1" w:rsidRPr="00375C89">
        <w:rPr>
          <w:rFonts w:ascii="Times New Roman" w:eastAsia="Times New Roman" w:hAnsi="Times New Roman" w:cs="Times New Roman"/>
          <w:sz w:val="24"/>
          <w:szCs w:val="24"/>
          <w:lang w:eastAsia="en-IN"/>
        </w:rPr>
        <w:t xml:space="preserve">The lack of dominance by </w:t>
      </w:r>
      <w:r w:rsidR="008038F1" w:rsidRPr="00375C89">
        <w:rPr>
          <w:rFonts w:ascii="Times New Roman" w:eastAsia="Times New Roman" w:hAnsi="Times New Roman" w:cs="Times New Roman"/>
          <w:i/>
          <w:sz w:val="24"/>
          <w:szCs w:val="24"/>
          <w:lang w:eastAsia="en-IN"/>
        </w:rPr>
        <w:t>L. crispatus</w:t>
      </w:r>
      <w:r w:rsidR="008038F1" w:rsidRPr="00375C89">
        <w:rPr>
          <w:rFonts w:ascii="Times New Roman" w:eastAsia="Times New Roman" w:hAnsi="Times New Roman" w:cs="Times New Roman"/>
          <w:sz w:val="24"/>
          <w:szCs w:val="24"/>
          <w:lang w:eastAsia="en-IN"/>
        </w:rPr>
        <w:t xml:space="preserve"> is linked to pro-inflammatory polarization of Th1 and Th17 cells, decreased regulatory T cell function, and fetal immune intolerance. The inflammatory pathways activated by bacterial dysbiosis products, mediated by TLRs, increase the chances of recurrent pregnancy loss and ascending infection (Garmendia et al. 2024).</w:t>
      </w:r>
    </w:p>
    <w:p w14:paraId="130CB8C4" w14:textId="2F4DAAD7" w:rsidR="0005485B" w:rsidRPr="00260EA6" w:rsidRDefault="00A73994" w:rsidP="00260EA6">
      <w:pPr>
        <w:pStyle w:val="ListParagraph"/>
        <w:numPr>
          <w:ilvl w:val="0"/>
          <w:numId w:val="15"/>
        </w:numPr>
        <w:spacing w:before="100" w:beforeAutospacing="1" w:after="100" w:afterAutospacing="1" w:line="360" w:lineRule="auto"/>
        <w:ind w:left="142" w:hanging="142"/>
        <w:jc w:val="both"/>
        <w:outlineLvl w:val="2"/>
        <w:rPr>
          <w:rStyle w:val="vkekvd"/>
          <w:rFonts w:ascii="Times New Roman" w:eastAsia="Times New Roman" w:hAnsi="Times New Roman" w:cs="Times New Roman"/>
          <w:b/>
          <w:bCs/>
          <w:sz w:val="24"/>
          <w:szCs w:val="24"/>
          <w:lang w:eastAsia="en-IN"/>
        </w:rPr>
      </w:pPr>
      <w:r w:rsidRPr="00375C89">
        <w:rPr>
          <w:rFonts w:ascii="Times New Roman" w:eastAsia="Times New Roman" w:hAnsi="Times New Roman" w:cs="Times New Roman"/>
          <w:i/>
          <w:iCs/>
          <w:sz w:val="24"/>
          <w:szCs w:val="24"/>
          <w:lang w:eastAsia="en-IN"/>
        </w:rPr>
        <w:t>Preterm Birth and Premature Rupture of Membranes</w:t>
      </w:r>
      <w:r w:rsidR="00B170D6" w:rsidRPr="00375C89">
        <w:rPr>
          <w:rFonts w:ascii="Times New Roman" w:eastAsia="Times New Roman" w:hAnsi="Times New Roman" w:cs="Times New Roman"/>
          <w:i/>
          <w:iCs/>
          <w:sz w:val="24"/>
          <w:szCs w:val="24"/>
          <w:lang w:eastAsia="en-IN"/>
        </w:rPr>
        <w:t>:</w:t>
      </w:r>
      <w:r w:rsidR="00B170D6" w:rsidRPr="00375C89">
        <w:rPr>
          <w:rFonts w:ascii="Times New Roman" w:eastAsia="Times New Roman" w:hAnsi="Times New Roman" w:cs="Times New Roman"/>
          <w:b/>
          <w:bCs/>
          <w:sz w:val="24"/>
          <w:szCs w:val="24"/>
          <w:lang w:eastAsia="en-IN"/>
        </w:rPr>
        <w:t xml:space="preserve"> </w:t>
      </w:r>
      <w:r w:rsidR="008038F1" w:rsidRPr="00375C89">
        <w:rPr>
          <w:rFonts w:ascii="Times New Roman" w:eastAsia="Times New Roman" w:hAnsi="Times New Roman" w:cs="Times New Roman"/>
          <w:sz w:val="24"/>
          <w:szCs w:val="24"/>
          <w:lang w:eastAsia="en-IN"/>
        </w:rPr>
        <w:t>Bacterial vaginosis is an important risk factor for preterm labor and PROM/PPROM. Dysbiosis-linked bacteria synthesize sialidases, inflammatory factors, and matrix metalloproteinases, contributing to fetal membrane degradation and ascending polymicrobial infection in the uterine cavity.</w:t>
      </w:r>
      <w:r w:rsidR="00260EA6">
        <w:rPr>
          <w:rFonts w:ascii="Times New Roman" w:eastAsia="Times New Roman" w:hAnsi="Times New Roman" w:cs="Times New Roman"/>
          <w:sz w:val="24"/>
          <w:szCs w:val="24"/>
          <w:lang w:eastAsia="en-IN"/>
        </w:rPr>
        <w:t xml:space="preserve"> </w:t>
      </w:r>
      <w:r w:rsidR="008038F1" w:rsidRPr="00260EA6">
        <w:rPr>
          <w:rFonts w:ascii="Times New Roman" w:eastAsia="Times New Roman" w:hAnsi="Times New Roman" w:cs="Times New Roman"/>
          <w:sz w:val="24"/>
          <w:szCs w:val="24"/>
          <w:lang w:eastAsia="en-IN"/>
        </w:rPr>
        <w:t xml:space="preserve">The </w:t>
      </w:r>
      <w:r w:rsidR="00260EA6" w:rsidRPr="00260EA6">
        <w:rPr>
          <w:rFonts w:ascii="Times New Roman" w:eastAsia="Times New Roman" w:hAnsi="Times New Roman" w:cs="Times New Roman"/>
          <w:sz w:val="24"/>
          <w:szCs w:val="24"/>
          <w:lang w:eastAsia="en-IN"/>
        </w:rPr>
        <w:lastRenderedPageBreak/>
        <w:t xml:space="preserve">extent of dysbiosis is highly correlated with poor pregnancy outcomes (Deng et al. 2025) </w:t>
      </w:r>
      <w:r w:rsidR="00260EA6" w:rsidRPr="00260EA6">
        <w:rPr>
          <w:rStyle w:val="vkekvd"/>
          <w:rFonts w:ascii="Times New Roman" w:hAnsi="Times New Roman" w:cs="Times New Roman"/>
          <w:color w:val="000000" w:themeColor="text1"/>
          <w:sz w:val="24"/>
          <w:szCs w:val="24"/>
          <w:shd w:val="clear" w:color="auto" w:fill="FFFFFF"/>
        </w:rPr>
        <w:t>(</w:t>
      </w:r>
      <w:r w:rsidR="00260EA6" w:rsidRPr="00260EA6">
        <w:rPr>
          <w:rStyle w:val="vkekvd"/>
          <w:rFonts w:ascii="Times New Roman" w:hAnsi="Times New Roman" w:cs="Times New Roman"/>
          <w:b/>
          <w:color w:val="000000" w:themeColor="text1"/>
          <w:sz w:val="24"/>
          <w:szCs w:val="24"/>
          <w:shd w:val="clear" w:color="auto" w:fill="FFFFFF"/>
        </w:rPr>
        <w:t>Table I</w:t>
      </w:r>
      <w:r w:rsidR="00260EA6" w:rsidRPr="00260EA6">
        <w:rPr>
          <w:rStyle w:val="vkekvd"/>
          <w:rFonts w:ascii="Times New Roman" w:hAnsi="Times New Roman" w:cs="Times New Roman"/>
          <w:color w:val="000000" w:themeColor="text1"/>
          <w:sz w:val="24"/>
          <w:szCs w:val="24"/>
          <w:shd w:val="clear" w:color="auto" w:fill="FFFFFF"/>
        </w:rPr>
        <w:t>).</w:t>
      </w:r>
    </w:p>
    <w:p w14:paraId="3B2EEE61" w14:textId="7222C4D6" w:rsidR="001763BB" w:rsidRPr="00375C89" w:rsidRDefault="00260EA6" w:rsidP="00F86B03">
      <w:pPr>
        <w:spacing w:line="360" w:lineRule="auto"/>
        <w:ind w:left="567"/>
        <w:jc w:val="both"/>
        <w:rPr>
          <w:rStyle w:val="vkekvd"/>
          <w:rFonts w:ascii="Times New Roman" w:hAnsi="Times New Roman" w:cs="Times New Roman"/>
          <w:color w:val="0A0A0A"/>
          <w:sz w:val="24"/>
          <w:szCs w:val="24"/>
          <w:shd w:val="clear" w:color="auto" w:fill="FFFFFF"/>
        </w:rPr>
      </w:pPr>
      <w:r w:rsidRPr="00CE6755">
        <w:rPr>
          <w:rFonts w:ascii="Times New Roman" w:hAnsi="Times New Roman" w:cs="Times New Roman"/>
          <w:b/>
          <w:bCs/>
          <w:sz w:val="24"/>
          <w:szCs w:val="24"/>
        </w:rPr>
        <w:t>TABLE I</w:t>
      </w:r>
      <w:r w:rsidRPr="00B170D6">
        <w:rPr>
          <w:rFonts w:ascii="Times New Roman" w:hAnsi="Times New Roman" w:cs="Times New Roman"/>
          <w:bCs/>
          <w:sz w:val="24"/>
          <w:szCs w:val="24"/>
        </w:rPr>
        <w:t>. COMPARATIVE EFFECTS O</w:t>
      </w:r>
      <w:r w:rsidR="005D6A66">
        <w:rPr>
          <w:rFonts w:ascii="Times New Roman" w:hAnsi="Times New Roman" w:cs="Times New Roman"/>
          <w:bCs/>
          <w:sz w:val="24"/>
          <w:szCs w:val="24"/>
        </w:rPr>
        <w:t>N</w:t>
      </w:r>
      <w:r w:rsidRPr="00B170D6">
        <w:rPr>
          <w:rFonts w:ascii="Times New Roman" w:hAnsi="Times New Roman" w:cs="Times New Roman"/>
          <w:bCs/>
          <w:sz w:val="24"/>
          <w:szCs w:val="24"/>
        </w:rPr>
        <w:t xml:space="preserve"> EUBIOTIC AND DYSBIOTIC GUT</w:t>
      </w:r>
      <w:r w:rsidR="005D6A66">
        <w:rPr>
          <w:rFonts w:ascii="Times New Roman" w:hAnsi="Times New Roman" w:cs="Times New Roman"/>
          <w:bCs/>
          <w:sz w:val="24"/>
          <w:szCs w:val="24"/>
        </w:rPr>
        <w:t>S</w:t>
      </w:r>
    </w:p>
    <w:tbl>
      <w:tblPr>
        <w:tblStyle w:val="TableGrid"/>
        <w:tblW w:w="4635" w:type="pct"/>
        <w:tblInd w:w="675" w:type="dxa"/>
        <w:tblLook w:val="04A0" w:firstRow="1" w:lastRow="0" w:firstColumn="1" w:lastColumn="0" w:noHBand="0" w:noVBand="1"/>
      </w:tblPr>
      <w:tblGrid>
        <w:gridCol w:w="839"/>
        <w:gridCol w:w="1736"/>
        <w:gridCol w:w="2888"/>
        <w:gridCol w:w="2895"/>
      </w:tblGrid>
      <w:tr w:rsidR="00600BB8" w:rsidRPr="00375C89" w14:paraId="65E810EB" w14:textId="77777777" w:rsidTr="00E377F3">
        <w:trPr>
          <w:trHeight w:val="620"/>
        </w:trPr>
        <w:tc>
          <w:tcPr>
            <w:tcW w:w="510" w:type="pct"/>
          </w:tcPr>
          <w:p w14:paraId="2BBBFF21" w14:textId="6104F3B0" w:rsidR="00600BB8" w:rsidRPr="00375C89" w:rsidRDefault="00E377F3" w:rsidP="00190CEF">
            <w:pPr>
              <w:spacing w:line="360" w:lineRule="auto"/>
              <w:jc w:val="center"/>
              <w:rPr>
                <w:rFonts w:ascii="Times New Roman" w:hAnsi="Times New Roman" w:cs="Times New Roman"/>
                <w:b/>
                <w:noProof/>
                <w:sz w:val="24"/>
                <w:szCs w:val="24"/>
                <w:lang w:eastAsia="en-IN"/>
              </w:rPr>
            </w:pPr>
            <w:r w:rsidRPr="00375C89">
              <w:rPr>
                <w:rFonts w:ascii="Times New Roman" w:hAnsi="Times New Roman" w:cs="Times New Roman"/>
                <w:b/>
                <w:noProof/>
                <w:sz w:val="24"/>
                <w:szCs w:val="24"/>
                <w:lang w:eastAsia="en-IN"/>
              </w:rPr>
              <w:t xml:space="preserve">S. NO. </w:t>
            </w:r>
          </w:p>
        </w:tc>
        <w:tc>
          <w:tcPr>
            <w:tcW w:w="1014" w:type="pct"/>
            <w:vAlign w:val="center"/>
            <w:hideMark/>
          </w:tcPr>
          <w:p w14:paraId="27B1A370" w14:textId="6E089F98" w:rsidR="00600BB8" w:rsidRPr="00375C89" w:rsidRDefault="00600BB8" w:rsidP="00190CEF">
            <w:pPr>
              <w:spacing w:line="360" w:lineRule="auto"/>
              <w:jc w:val="center"/>
              <w:rPr>
                <w:rFonts w:ascii="Times New Roman" w:eastAsia="Times New Roman" w:hAnsi="Times New Roman" w:cs="Times New Roman"/>
                <w:b/>
                <w:bCs/>
                <w:sz w:val="24"/>
                <w:szCs w:val="24"/>
              </w:rPr>
            </w:pPr>
            <w:r w:rsidRPr="00375C89">
              <w:rPr>
                <w:rFonts w:ascii="Times New Roman" w:eastAsia="Times New Roman" w:hAnsi="Times New Roman" w:cs="Times New Roman"/>
                <w:b/>
                <w:bCs/>
                <w:sz w:val="24"/>
                <w:szCs w:val="24"/>
              </w:rPr>
              <w:t>Domain</w:t>
            </w:r>
            <w:r w:rsidR="00E377F3" w:rsidRPr="00375C89">
              <w:rPr>
                <w:rFonts w:ascii="Times New Roman" w:eastAsia="Times New Roman" w:hAnsi="Times New Roman" w:cs="Times New Roman"/>
                <w:b/>
                <w:bCs/>
                <w:sz w:val="24"/>
                <w:szCs w:val="24"/>
              </w:rPr>
              <w:t>s</w:t>
            </w:r>
          </w:p>
        </w:tc>
        <w:tc>
          <w:tcPr>
            <w:tcW w:w="1736" w:type="pct"/>
            <w:vAlign w:val="center"/>
            <w:hideMark/>
          </w:tcPr>
          <w:p w14:paraId="64D7BF73" w14:textId="58721372" w:rsidR="00600BB8" w:rsidRPr="00375C89" w:rsidRDefault="00600BB8" w:rsidP="00190CEF">
            <w:pPr>
              <w:spacing w:line="360" w:lineRule="auto"/>
              <w:jc w:val="center"/>
              <w:rPr>
                <w:rFonts w:ascii="Times New Roman" w:eastAsia="Times New Roman" w:hAnsi="Times New Roman" w:cs="Times New Roman"/>
                <w:b/>
                <w:bCs/>
                <w:sz w:val="24"/>
                <w:szCs w:val="24"/>
              </w:rPr>
            </w:pPr>
            <w:r w:rsidRPr="00375C89">
              <w:rPr>
                <w:rFonts w:ascii="Times New Roman" w:eastAsia="Times New Roman" w:hAnsi="Times New Roman" w:cs="Times New Roman"/>
                <w:b/>
                <w:bCs/>
                <w:sz w:val="24"/>
                <w:szCs w:val="24"/>
              </w:rPr>
              <w:t>Eubiotic Gut Microbiota</w:t>
            </w:r>
          </w:p>
        </w:tc>
        <w:tc>
          <w:tcPr>
            <w:tcW w:w="1740" w:type="pct"/>
            <w:vAlign w:val="center"/>
            <w:hideMark/>
          </w:tcPr>
          <w:p w14:paraId="43D88EB8" w14:textId="40A023E7" w:rsidR="00600BB8" w:rsidRPr="00375C89" w:rsidRDefault="00600BB8" w:rsidP="00190CEF">
            <w:pPr>
              <w:spacing w:line="360" w:lineRule="auto"/>
              <w:jc w:val="center"/>
              <w:rPr>
                <w:rFonts w:ascii="Times New Roman" w:eastAsia="Times New Roman" w:hAnsi="Times New Roman" w:cs="Times New Roman"/>
                <w:b/>
                <w:bCs/>
                <w:sz w:val="24"/>
                <w:szCs w:val="24"/>
              </w:rPr>
            </w:pPr>
            <w:r w:rsidRPr="00375C89">
              <w:rPr>
                <w:rFonts w:ascii="Times New Roman" w:eastAsia="Times New Roman" w:hAnsi="Times New Roman" w:cs="Times New Roman"/>
                <w:b/>
                <w:bCs/>
                <w:sz w:val="24"/>
                <w:szCs w:val="24"/>
              </w:rPr>
              <w:t>Dysbiotic Gut Microbiota</w:t>
            </w:r>
          </w:p>
        </w:tc>
      </w:tr>
      <w:tr w:rsidR="00600BB8" w:rsidRPr="00375C89" w14:paraId="2C92C0AE" w14:textId="77777777" w:rsidTr="00375C89">
        <w:trPr>
          <w:trHeight w:val="1610"/>
        </w:trPr>
        <w:tc>
          <w:tcPr>
            <w:tcW w:w="510" w:type="pct"/>
            <w:vAlign w:val="center"/>
          </w:tcPr>
          <w:p w14:paraId="7564A68D" w14:textId="1605A1BF"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1</w:t>
            </w:r>
          </w:p>
        </w:tc>
        <w:tc>
          <w:tcPr>
            <w:tcW w:w="1014" w:type="pct"/>
            <w:vAlign w:val="center"/>
            <w:hideMark/>
          </w:tcPr>
          <w:p w14:paraId="12DDECAD" w14:textId="66375FD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Microbial composition</w:t>
            </w:r>
          </w:p>
        </w:tc>
        <w:tc>
          <w:tcPr>
            <w:tcW w:w="1736" w:type="pct"/>
            <w:vAlign w:val="center"/>
            <w:hideMark/>
          </w:tcPr>
          <w:p w14:paraId="66CD7280"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 xml:space="preserve">Dominated by anti-inflammatory bacteria including </w:t>
            </w:r>
            <w:r w:rsidRPr="00375C89">
              <w:rPr>
                <w:rFonts w:ascii="Times New Roman" w:eastAsia="Times New Roman" w:hAnsi="Times New Roman" w:cs="Times New Roman"/>
                <w:i/>
                <w:iCs/>
                <w:sz w:val="24"/>
                <w:szCs w:val="24"/>
              </w:rPr>
              <w:t>Faecalibacterium prausnitzii</w:t>
            </w:r>
            <w:r w:rsidRPr="00375C89">
              <w:rPr>
                <w:rFonts w:ascii="Times New Roman" w:eastAsia="Times New Roman" w:hAnsi="Times New Roman" w:cs="Times New Roman"/>
                <w:sz w:val="24"/>
                <w:szCs w:val="24"/>
              </w:rPr>
              <w:t xml:space="preserve">, </w:t>
            </w:r>
            <w:r w:rsidRPr="00375C89">
              <w:rPr>
                <w:rFonts w:ascii="Times New Roman" w:eastAsia="Times New Roman" w:hAnsi="Times New Roman" w:cs="Times New Roman"/>
                <w:i/>
                <w:iCs/>
                <w:sz w:val="24"/>
                <w:szCs w:val="24"/>
              </w:rPr>
              <w:t>Roseburia spp.</w:t>
            </w:r>
            <w:r w:rsidRPr="00375C89">
              <w:rPr>
                <w:rFonts w:ascii="Times New Roman" w:eastAsia="Times New Roman" w:hAnsi="Times New Roman" w:cs="Times New Roman"/>
                <w:sz w:val="24"/>
                <w:szCs w:val="24"/>
              </w:rPr>
              <w:t xml:space="preserve">, </w:t>
            </w:r>
            <w:r w:rsidRPr="00375C89">
              <w:rPr>
                <w:rFonts w:ascii="Times New Roman" w:eastAsia="Times New Roman" w:hAnsi="Times New Roman" w:cs="Times New Roman"/>
                <w:i/>
                <w:iCs/>
                <w:sz w:val="24"/>
                <w:szCs w:val="24"/>
              </w:rPr>
              <w:t>Bifidobacterium spp.</w:t>
            </w:r>
            <w:r w:rsidRPr="00375C89">
              <w:rPr>
                <w:rFonts w:ascii="Times New Roman" w:eastAsia="Times New Roman" w:hAnsi="Times New Roman" w:cs="Times New Roman"/>
                <w:sz w:val="24"/>
                <w:szCs w:val="24"/>
              </w:rPr>
              <w:t xml:space="preserve">, and </w:t>
            </w:r>
            <w:r w:rsidRPr="00375C89">
              <w:rPr>
                <w:rFonts w:ascii="Times New Roman" w:eastAsia="Times New Roman" w:hAnsi="Times New Roman" w:cs="Times New Roman"/>
                <w:i/>
                <w:iCs/>
                <w:sz w:val="24"/>
                <w:szCs w:val="24"/>
              </w:rPr>
              <w:t>Lactobacillus spp.</w:t>
            </w:r>
          </w:p>
        </w:tc>
        <w:tc>
          <w:tcPr>
            <w:tcW w:w="1740" w:type="pct"/>
            <w:vAlign w:val="center"/>
            <w:hideMark/>
          </w:tcPr>
          <w:p w14:paraId="72AE878A"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 xml:space="preserve">Enriched with pro-inflammatory and pathogenic bacteria such as </w:t>
            </w:r>
            <w:r w:rsidRPr="00375C89">
              <w:rPr>
                <w:rFonts w:ascii="Times New Roman" w:eastAsia="Times New Roman" w:hAnsi="Times New Roman" w:cs="Times New Roman"/>
                <w:i/>
                <w:iCs/>
                <w:sz w:val="24"/>
                <w:szCs w:val="24"/>
              </w:rPr>
              <w:t>Escherichia coli</w:t>
            </w:r>
            <w:r w:rsidRPr="00375C89">
              <w:rPr>
                <w:rFonts w:ascii="Times New Roman" w:eastAsia="Times New Roman" w:hAnsi="Times New Roman" w:cs="Times New Roman"/>
                <w:sz w:val="24"/>
                <w:szCs w:val="24"/>
              </w:rPr>
              <w:t xml:space="preserve">, </w:t>
            </w:r>
            <w:r w:rsidRPr="00375C89">
              <w:rPr>
                <w:rFonts w:ascii="Times New Roman" w:eastAsia="Times New Roman" w:hAnsi="Times New Roman" w:cs="Times New Roman"/>
                <w:i/>
                <w:iCs/>
                <w:sz w:val="24"/>
                <w:szCs w:val="24"/>
              </w:rPr>
              <w:t>Bacteroides fragilis</w:t>
            </w:r>
            <w:r w:rsidRPr="00375C89">
              <w:rPr>
                <w:rFonts w:ascii="Times New Roman" w:eastAsia="Times New Roman" w:hAnsi="Times New Roman" w:cs="Times New Roman"/>
                <w:sz w:val="24"/>
                <w:szCs w:val="24"/>
              </w:rPr>
              <w:t xml:space="preserve">, and pathogenic </w:t>
            </w:r>
            <w:r w:rsidRPr="00375C89">
              <w:rPr>
                <w:rFonts w:ascii="Times New Roman" w:eastAsia="Times New Roman" w:hAnsi="Times New Roman" w:cs="Times New Roman"/>
                <w:i/>
                <w:iCs/>
                <w:sz w:val="24"/>
                <w:szCs w:val="24"/>
              </w:rPr>
              <w:t>Clostridium spp.</w:t>
            </w:r>
          </w:p>
        </w:tc>
      </w:tr>
      <w:tr w:rsidR="00600BB8" w:rsidRPr="00375C89" w14:paraId="7F4DFA45" w14:textId="77777777" w:rsidTr="00375C89">
        <w:trPr>
          <w:trHeight w:val="755"/>
        </w:trPr>
        <w:tc>
          <w:tcPr>
            <w:tcW w:w="510" w:type="pct"/>
            <w:vAlign w:val="center"/>
          </w:tcPr>
          <w:p w14:paraId="58F55D43" w14:textId="711AEB0F"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2</w:t>
            </w:r>
          </w:p>
        </w:tc>
        <w:tc>
          <w:tcPr>
            <w:tcW w:w="1014" w:type="pct"/>
            <w:vAlign w:val="center"/>
            <w:hideMark/>
          </w:tcPr>
          <w:p w14:paraId="14F69D51" w14:textId="31565B32"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Key microbial metabolites</w:t>
            </w:r>
          </w:p>
        </w:tc>
        <w:tc>
          <w:tcPr>
            <w:tcW w:w="1736" w:type="pct"/>
            <w:vAlign w:val="center"/>
            <w:hideMark/>
          </w:tcPr>
          <w:p w14:paraId="53FDF88D"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Short-chain fatty acids (butyrate, acetate), lactic acid, H₂O₂</w:t>
            </w:r>
          </w:p>
        </w:tc>
        <w:tc>
          <w:tcPr>
            <w:tcW w:w="1740" w:type="pct"/>
            <w:vAlign w:val="center"/>
            <w:hideMark/>
          </w:tcPr>
          <w:p w14:paraId="5135280A"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Lipopolysaccharide (LPS), enterotoxins</w:t>
            </w:r>
          </w:p>
        </w:tc>
      </w:tr>
      <w:tr w:rsidR="00600BB8" w:rsidRPr="00375C89" w14:paraId="2880D275" w14:textId="77777777" w:rsidTr="00375C89">
        <w:trPr>
          <w:trHeight w:val="1295"/>
        </w:trPr>
        <w:tc>
          <w:tcPr>
            <w:tcW w:w="510" w:type="pct"/>
            <w:vAlign w:val="center"/>
          </w:tcPr>
          <w:p w14:paraId="3A8B63E0" w14:textId="30B89403"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3</w:t>
            </w:r>
          </w:p>
        </w:tc>
        <w:tc>
          <w:tcPr>
            <w:tcW w:w="1014" w:type="pct"/>
            <w:vAlign w:val="center"/>
            <w:hideMark/>
          </w:tcPr>
          <w:p w14:paraId="6D8725D2" w14:textId="5807B3D9"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Immune regulation</w:t>
            </w:r>
          </w:p>
        </w:tc>
        <w:tc>
          <w:tcPr>
            <w:tcW w:w="1736" w:type="pct"/>
            <w:vAlign w:val="center"/>
            <w:hideMark/>
          </w:tcPr>
          <w:p w14:paraId="74C2D3C2"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Enhances regulatory T cells (Tregs), suppresses Th17-driven inflammation, and maintains immune tolerance</w:t>
            </w:r>
          </w:p>
        </w:tc>
        <w:tc>
          <w:tcPr>
            <w:tcW w:w="1740" w:type="pct"/>
            <w:vAlign w:val="center"/>
            <w:hideMark/>
          </w:tcPr>
          <w:p w14:paraId="7142BE06"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Increased Th17 cells with reduced Tregs, elevated pro-inflammatory cytokines (IL-6, TNF-α, IL-1β), and chronic immune activation</w:t>
            </w:r>
          </w:p>
        </w:tc>
      </w:tr>
      <w:tr w:rsidR="00600BB8" w:rsidRPr="00375C89" w14:paraId="0BD9F33D" w14:textId="77777777" w:rsidTr="00375C89">
        <w:trPr>
          <w:trHeight w:val="1340"/>
        </w:trPr>
        <w:tc>
          <w:tcPr>
            <w:tcW w:w="510" w:type="pct"/>
            <w:vAlign w:val="center"/>
          </w:tcPr>
          <w:p w14:paraId="18116F8C" w14:textId="341310C8"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4</w:t>
            </w:r>
          </w:p>
        </w:tc>
        <w:tc>
          <w:tcPr>
            <w:tcW w:w="1014" w:type="pct"/>
            <w:vAlign w:val="center"/>
            <w:hideMark/>
          </w:tcPr>
          <w:p w14:paraId="7116AA18" w14:textId="10834C43"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Inflammatory signalling pathways</w:t>
            </w:r>
          </w:p>
        </w:tc>
        <w:tc>
          <w:tcPr>
            <w:tcW w:w="1736" w:type="pct"/>
            <w:vAlign w:val="center"/>
            <w:hideMark/>
          </w:tcPr>
          <w:p w14:paraId="0D884186" w14:textId="61B3F800"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SCFAs suppress NF-</w:t>
            </w:r>
            <w:proofErr w:type="spellStart"/>
            <w:r w:rsidRPr="00375C89">
              <w:rPr>
                <w:rFonts w:ascii="Times New Roman" w:eastAsia="Times New Roman" w:hAnsi="Times New Roman" w:cs="Times New Roman"/>
                <w:sz w:val="24"/>
                <w:szCs w:val="24"/>
              </w:rPr>
              <w:t>κB</w:t>
            </w:r>
            <w:proofErr w:type="spellEnd"/>
            <w:r w:rsidRPr="00375C89">
              <w:rPr>
                <w:rFonts w:ascii="Times New Roman" w:eastAsia="Times New Roman" w:hAnsi="Times New Roman" w:cs="Times New Roman"/>
                <w:sz w:val="24"/>
                <w:szCs w:val="24"/>
              </w:rPr>
              <w:t xml:space="preserve"> signalling, maintain epithelial barrier integrity, and limit inflammasome activation</w:t>
            </w:r>
          </w:p>
        </w:tc>
        <w:tc>
          <w:tcPr>
            <w:tcW w:w="1740" w:type="pct"/>
            <w:vAlign w:val="center"/>
            <w:hideMark/>
          </w:tcPr>
          <w:p w14:paraId="3F466D40" w14:textId="5DAD155A"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NF-</w:t>
            </w:r>
            <w:proofErr w:type="spellStart"/>
            <w:r w:rsidRPr="00375C89">
              <w:rPr>
                <w:rFonts w:ascii="Times New Roman" w:eastAsia="Times New Roman" w:hAnsi="Times New Roman" w:cs="Times New Roman"/>
                <w:sz w:val="24"/>
                <w:szCs w:val="24"/>
              </w:rPr>
              <w:t>κB</w:t>
            </w:r>
            <w:proofErr w:type="spellEnd"/>
            <w:r w:rsidRPr="00375C89">
              <w:rPr>
                <w:rFonts w:ascii="Times New Roman" w:eastAsia="Times New Roman" w:hAnsi="Times New Roman" w:cs="Times New Roman"/>
                <w:sz w:val="24"/>
                <w:szCs w:val="24"/>
              </w:rPr>
              <w:t xml:space="preserve"> pathway activation, TLR4</w:t>
            </w:r>
            <w:r w:rsidR="00894B7B">
              <w:rPr>
                <w:rFonts w:ascii="Times New Roman" w:eastAsia="Times New Roman" w:hAnsi="Times New Roman" w:cs="Times New Roman"/>
                <w:sz w:val="24"/>
                <w:szCs w:val="24"/>
              </w:rPr>
              <w:t>-</w:t>
            </w:r>
            <w:r w:rsidRPr="00375C89">
              <w:rPr>
                <w:rFonts w:ascii="Times New Roman" w:eastAsia="Times New Roman" w:hAnsi="Times New Roman" w:cs="Times New Roman"/>
                <w:sz w:val="24"/>
                <w:szCs w:val="24"/>
              </w:rPr>
              <w:t>LPS signalling amplification, and NLRP3 inflammasome activation leading to IL-1β production</w:t>
            </w:r>
          </w:p>
        </w:tc>
      </w:tr>
      <w:tr w:rsidR="00600BB8" w:rsidRPr="00375C89" w14:paraId="182534EF" w14:textId="77777777" w:rsidTr="00375C89">
        <w:trPr>
          <w:trHeight w:val="1160"/>
        </w:trPr>
        <w:tc>
          <w:tcPr>
            <w:tcW w:w="510" w:type="pct"/>
            <w:vAlign w:val="center"/>
          </w:tcPr>
          <w:p w14:paraId="0E765344" w14:textId="5A778C64"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5</w:t>
            </w:r>
          </w:p>
        </w:tc>
        <w:tc>
          <w:tcPr>
            <w:tcW w:w="1014" w:type="pct"/>
            <w:vAlign w:val="center"/>
            <w:hideMark/>
          </w:tcPr>
          <w:p w14:paraId="43552D79" w14:textId="6FF1131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Macrophage and dendritic cell activity</w:t>
            </w:r>
          </w:p>
        </w:tc>
        <w:tc>
          <w:tcPr>
            <w:tcW w:w="1736" w:type="pct"/>
            <w:vAlign w:val="center"/>
            <w:hideMark/>
          </w:tcPr>
          <w:p w14:paraId="35BE4B48"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Balanced macrophage polarization and controlled antigen presentation</w:t>
            </w:r>
          </w:p>
        </w:tc>
        <w:tc>
          <w:tcPr>
            <w:tcW w:w="1740" w:type="pct"/>
            <w:vAlign w:val="center"/>
            <w:hideMark/>
          </w:tcPr>
          <w:p w14:paraId="605AD834"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M1-polarized macrophage infiltration and dendritic cell activation with enhanced antigen presentation and tissue reactivity</w:t>
            </w:r>
          </w:p>
        </w:tc>
      </w:tr>
      <w:tr w:rsidR="00600BB8" w:rsidRPr="00375C89" w14:paraId="1EFFBC8E" w14:textId="77777777" w:rsidTr="00375C89">
        <w:trPr>
          <w:trHeight w:val="1250"/>
        </w:trPr>
        <w:tc>
          <w:tcPr>
            <w:tcW w:w="510" w:type="pct"/>
            <w:vAlign w:val="center"/>
          </w:tcPr>
          <w:p w14:paraId="7E789234" w14:textId="3751B9F6"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6</w:t>
            </w:r>
          </w:p>
        </w:tc>
        <w:tc>
          <w:tcPr>
            <w:tcW w:w="1014" w:type="pct"/>
            <w:vAlign w:val="center"/>
            <w:hideMark/>
          </w:tcPr>
          <w:p w14:paraId="666C79D5" w14:textId="6C651F8F"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 xml:space="preserve">Hormonal regulation (estrobolome </w:t>
            </w:r>
            <w:r w:rsidRPr="00375C89">
              <w:rPr>
                <w:rFonts w:ascii="Times New Roman" w:eastAsia="Times New Roman" w:hAnsi="Times New Roman" w:cs="Times New Roman"/>
                <w:sz w:val="24"/>
                <w:szCs w:val="24"/>
              </w:rPr>
              <w:lastRenderedPageBreak/>
              <w:t>activity)</w:t>
            </w:r>
          </w:p>
        </w:tc>
        <w:tc>
          <w:tcPr>
            <w:tcW w:w="1736" w:type="pct"/>
            <w:vAlign w:val="center"/>
            <w:hideMark/>
          </w:tcPr>
          <w:p w14:paraId="6A8AC561"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lastRenderedPageBreak/>
              <w:t xml:space="preserve">Physiological modulation of estrogen metabolism and preservation of progesterone </w:t>
            </w:r>
            <w:r w:rsidRPr="00375C89">
              <w:rPr>
                <w:rFonts w:ascii="Times New Roman" w:eastAsia="Times New Roman" w:hAnsi="Times New Roman" w:cs="Times New Roman"/>
                <w:sz w:val="24"/>
                <w:szCs w:val="24"/>
              </w:rPr>
              <w:lastRenderedPageBreak/>
              <w:t>sensitivity</w:t>
            </w:r>
          </w:p>
        </w:tc>
        <w:tc>
          <w:tcPr>
            <w:tcW w:w="1740" w:type="pct"/>
            <w:vAlign w:val="center"/>
            <w:hideMark/>
          </w:tcPr>
          <w:p w14:paraId="68C314BE" w14:textId="000AB238"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lastRenderedPageBreak/>
              <w:t xml:space="preserve">Estrogen dominance due to excess β-glucuronidase activity, altered estrogen </w:t>
            </w:r>
            <w:r w:rsidRPr="00375C89">
              <w:rPr>
                <w:rFonts w:ascii="Times New Roman" w:eastAsia="Times New Roman" w:hAnsi="Times New Roman" w:cs="Times New Roman"/>
                <w:sz w:val="24"/>
                <w:szCs w:val="24"/>
              </w:rPr>
              <w:lastRenderedPageBreak/>
              <w:t>receptor β (ERβ) signalling, and progesterone resistance</w:t>
            </w:r>
          </w:p>
        </w:tc>
      </w:tr>
      <w:tr w:rsidR="00600BB8" w:rsidRPr="00375C89" w14:paraId="4CD88ECE" w14:textId="77777777" w:rsidTr="00375C89">
        <w:trPr>
          <w:trHeight w:val="1070"/>
        </w:trPr>
        <w:tc>
          <w:tcPr>
            <w:tcW w:w="510" w:type="pct"/>
            <w:vAlign w:val="center"/>
          </w:tcPr>
          <w:p w14:paraId="44E19ABA" w14:textId="5557DFD8"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lastRenderedPageBreak/>
              <w:t>7</w:t>
            </w:r>
          </w:p>
        </w:tc>
        <w:tc>
          <w:tcPr>
            <w:tcW w:w="1014" w:type="pct"/>
            <w:vAlign w:val="center"/>
            <w:hideMark/>
          </w:tcPr>
          <w:p w14:paraId="53F14CE8" w14:textId="728DCC40"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Stress and neuroendocrine modulation</w:t>
            </w:r>
          </w:p>
        </w:tc>
        <w:tc>
          <w:tcPr>
            <w:tcW w:w="1736" w:type="pct"/>
            <w:vAlign w:val="center"/>
            <w:hideMark/>
          </w:tcPr>
          <w:p w14:paraId="6B203865"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Modulates the HPA axis, supporting reproductive hormone homeostasis</w:t>
            </w:r>
          </w:p>
        </w:tc>
        <w:tc>
          <w:tcPr>
            <w:tcW w:w="1740" w:type="pct"/>
            <w:vAlign w:val="center"/>
            <w:hideMark/>
          </w:tcPr>
          <w:p w14:paraId="4E206BE8"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Hormonal imbalance with disruption of neuroendocrine regulation</w:t>
            </w:r>
          </w:p>
        </w:tc>
      </w:tr>
      <w:tr w:rsidR="00600BB8" w:rsidRPr="00375C89" w14:paraId="2F107917" w14:textId="77777777" w:rsidTr="00375C89">
        <w:trPr>
          <w:trHeight w:val="1250"/>
        </w:trPr>
        <w:tc>
          <w:tcPr>
            <w:tcW w:w="510" w:type="pct"/>
            <w:vAlign w:val="center"/>
          </w:tcPr>
          <w:p w14:paraId="0D5176E8" w14:textId="27333444"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8</w:t>
            </w:r>
          </w:p>
        </w:tc>
        <w:tc>
          <w:tcPr>
            <w:tcW w:w="1014" w:type="pct"/>
            <w:vAlign w:val="center"/>
            <w:hideMark/>
          </w:tcPr>
          <w:p w14:paraId="2AEB416A" w14:textId="1DF9A591"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Endometrial receptivity markers</w:t>
            </w:r>
          </w:p>
        </w:tc>
        <w:tc>
          <w:tcPr>
            <w:tcW w:w="1736" w:type="pct"/>
            <w:vAlign w:val="center"/>
            <w:hideMark/>
          </w:tcPr>
          <w:p w14:paraId="1E394B6A"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Promotes expression of LIF, HOXA10, integrins, and balanced mucins essential for implantation</w:t>
            </w:r>
          </w:p>
        </w:tc>
        <w:tc>
          <w:tcPr>
            <w:tcW w:w="1740" w:type="pct"/>
            <w:vAlign w:val="center"/>
            <w:hideMark/>
          </w:tcPr>
          <w:p w14:paraId="170ED510"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Reduced LIF and HOXA10 expression, impaired integrin αvβ3 function, and altered MUC1 and glycodelin affecting implantation</w:t>
            </w:r>
          </w:p>
        </w:tc>
      </w:tr>
      <w:tr w:rsidR="00600BB8" w:rsidRPr="00375C89" w14:paraId="222E7536" w14:textId="77777777" w:rsidTr="00375C89">
        <w:trPr>
          <w:trHeight w:val="800"/>
        </w:trPr>
        <w:tc>
          <w:tcPr>
            <w:tcW w:w="510" w:type="pct"/>
            <w:vAlign w:val="center"/>
          </w:tcPr>
          <w:p w14:paraId="2C422CD6" w14:textId="7268E386"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9</w:t>
            </w:r>
          </w:p>
        </w:tc>
        <w:tc>
          <w:tcPr>
            <w:tcW w:w="1014" w:type="pct"/>
            <w:vAlign w:val="center"/>
            <w:hideMark/>
          </w:tcPr>
          <w:p w14:paraId="26023CA0" w14:textId="094B63D9"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Decidualization and implantation</w:t>
            </w:r>
          </w:p>
        </w:tc>
        <w:tc>
          <w:tcPr>
            <w:tcW w:w="1736" w:type="pct"/>
            <w:vAlign w:val="center"/>
            <w:hideMark/>
          </w:tcPr>
          <w:p w14:paraId="3EDC94BA"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Supports decidualization and embryo–endometrial crosstalk</w:t>
            </w:r>
          </w:p>
        </w:tc>
        <w:tc>
          <w:tcPr>
            <w:tcW w:w="1740" w:type="pct"/>
            <w:vAlign w:val="center"/>
            <w:hideMark/>
          </w:tcPr>
          <w:p w14:paraId="2F426BCD"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Impaired decidualization and defective embryo attachment</w:t>
            </w:r>
          </w:p>
        </w:tc>
      </w:tr>
      <w:tr w:rsidR="00600BB8" w:rsidRPr="00375C89" w14:paraId="6284A024" w14:textId="77777777" w:rsidTr="00375C89">
        <w:trPr>
          <w:trHeight w:val="980"/>
        </w:trPr>
        <w:tc>
          <w:tcPr>
            <w:tcW w:w="510" w:type="pct"/>
            <w:vAlign w:val="center"/>
          </w:tcPr>
          <w:p w14:paraId="12965E83" w14:textId="009AA92A"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10</w:t>
            </w:r>
          </w:p>
        </w:tc>
        <w:tc>
          <w:tcPr>
            <w:tcW w:w="1014" w:type="pct"/>
            <w:vAlign w:val="center"/>
            <w:hideMark/>
          </w:tcPr>
          <w:p w14:paraId="6B535502" w14:textId="01BEDFA5"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Gut–uterus microbial cross-talk</w:t>
            </w:r>
          </w:p>
        </w:tc>
        <w:tc>
          <w:tcPr>
            <w:tcW w:w="1736" w:type="pct"/>
            <w:vAlign w:val="center"/>
            <w:hideMark/>
          </w:tcPr>
          <w:p w14:paraId="76F116FF"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Maintains stable molecular communication between gut and endometrial microbiota</w:t>
            </w:r>
          </w:p>
        </w:tc>
        <w:tc>
          <w:tcPr>
            <w:tcW w:w="1740" w:type="pct"/>
            <w:vAlign w:val="center"/>
            <w:hideMark/>
          </w:tcPr>
          <w:p w14:paraId="1A0C3CC9" w14:textId="217CA13F"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 xml:space="preserve">Altered gut–endometrium </w:t>
            </w:r>
            <w:r w:rsidR="00E377F3" w:rsidRPr="00375C89">
              <w:rPr>
                <w:rFonts w:ascii="Times New Roman" w:eastAsia="Times New Roman" w:hAnsi="Times New Roman" w:cs="Times New Roman"/>
                <w:sz w:val="24"/>
                <w:szCs w:val="24"/>
              </w:rPr>
              <w:t>signalling</w:t>
            </w:r>
            <w:r w:rsidRPr="00375C89">
              <w:rPr>
                <w:rFonts w:ascii="Times New Roman" w:eastAsia="Times New Roman" w:hAnsi="Times New Roman" w:cs="Times New Roman"/>
                <w:sz w:val="24"/>
                <w:szCs w:val="24"/>
              </w:rPr>
              <w:t xml:space="preserve"> with microbial metabolite translocation</w:t>
            </w:r>
          </w:p>
        </w:tc>
      </w:tr>
      <w:tr w:rsidR="00600BB8" w:rsidRPr="00375C89" w14:paraId="73914F7F" w14:textId="77777777" w:rsidTr="00375C89">
        <w:tc>
          <w:tcPr>
            <w:tcW w:w="510" w:type="pct"/>
            <w:vAlign w:val="center"/>
          </w:tcPr>
          <w:p w14:paraId="020A0B06" w14:textId="7EC3B9D3"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11</w:t>
            </w:r>
          </w:p>
        </w:tc>
        <w:tc>
          <w:tcPr>
            <w:tcW w:w="1014" w:type="pct"/>
            <w:vAlign w:val="center"/>
            <w:hideMark/>
          </w:tcPr>
          <w:p w14:paraId="15007CF7" w14:textId="2DB48975"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Endometrial microbial environment</w:t>
            </w:r>
          </w:p>
        </w:tc>
        <w:tc>
          <w:tcPr>
            <w:tcW w:w="1736" w:type="pct"/>
            <w:vAlign w:val="center"/>
            <w:hideMark/>
          </w:tcPr>
          <w:p w14:paraId="4EC6DB2F"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Stable endometrial microbial community with pathogen control</w:t>
            </w:r>
          </w:p>
        </w:tc>
        <w:tc>
          <w:tcPr>
            <w:tcW w:w="1740" w:type="pct"/>
            <w:vAlign w:val="center"/>
            <w:hideMark/>
          </w:tcPr>
          <w:p w14:paraId="3DD3708B"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Possible biofilm formation and dysbiotic shift in endometrial microbiota</w:t>
            </w:r>
          </w:p>
        </w:tc>
      </w:tr>
      <w:tr w:rsidR="00600BB8" w:rsidRPr="00375C89" w14:paraId="5C5059D9" w14:textId="77777777" w:rsidTr="00375C89">
        <w:tc>
          <w:tcPr>
            <w:tcW w:w="510" w:type="pct"/>
            <w:vAlign w:val="center"/>
          </w:tcPr>
          <w:p w14:paraId="2D890E4D" w14:textId="278890C6" w:rsidR="00600BB8" w:rsidRPr="00375C89" w:rsidRDefault="00E377F3" w:rsidP="00375C89">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12</w:t>
            </w:r>
          </w:p>
        </w:tc>
        <w:tc>
          <w:tcPr>
            <w:tcW w:w="1014" w:type="pct"/>
            <w:vAlign w:val="center"/>
            <w:hideMark/>
          </w:tcPr>
          <w:p w14:paraId="28A3B486" w14:textId="56559D86"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Nutrient synthesis and reproductive support</w:t>
            </w:r>
          </w:p>
        </w:tc>
        <w:tc>
          <w:tcPr>
            <w:tcW w:w="1736" w:type="pct"/>
            <w:vAlign w:val="center"/>
            <w:hideMark/>
          </w:tcPr>
          <w:p w14:paraId="2B51360C"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Produces folate and vitamin B12 critical for early embryogenesis</w:t>
            </w:r>
          </w:p>
        </w:tc>
        <w:tc>
          <w:tcPr>
            <w:tcW w:w="1740" w:type="pct"/>
            <w:vAlign w:val="center"/>
            <w:hideMark/>
          </w:tcPr>
          <w:p w14:paraId="65933B21" w14:textId="77777777" w:rsidR="00600BB8" w:rsidRPr="00375C89" w:rsidRDefault="00600BB8" w:rsidP="00141E7D">
            <w:pPr>
              <w:spacing w:line="360" w:lineRule="auto"/>
              <w:jc w:val="center"/>
              <w:rPr>
                <w:rFonts w:ascii="Times New Roman" w:eastAsia="Times New Roman" w:hAnsi="Times New Roman" w:cs="Times New Roman"/>
                <w:sz w:val="24"/>
                <w:szCs w:val="24"/>
              </w:rPr>
            </w:pPr>
            <w:r w:rsidRPr="00375C89">
              <w:rPr>
                <w:rFonts w:ascii="Times New Roman" w:eastAsia="Times New Roman" w:hAnsi="Times New Roman" w:cs="Times New Roman"/>
                <w:sz w:val="24"/>
                <w:szCs w:val="24"/>
              </w:rPr>
              <w:t>Reduced nutrient availability compromising early embryonic development</w:t>
            </w:r>
          </w:p>
        </w:tc>
      </w:tr>
    </w:tbl>
    <w:p w14:paraId="090D458D" w14:textId="77777777" w:rsidR="00566C3E" w:rsidRPr="00375C89" w:rsidRDefault="00566C3E" w:rsidP="004963AF">
      <w:pPr>
        <w:spacing w:after="0" w:line="360" w:lineRule="auto"/>
        <w:jc w:val="both"/>
        <w:rPr>
          <w:rFonts w:ascii="Times New Roman" w:hAnsi="Times New Roman" w:cs="Times New Roman"/>
          <w:b/>
          <w:bCs/>
          <w:sz w:val="24"/>
          <w:szCs w:val="24"/>
        </w:rPr>
      </w:pPr>
    </w:p>
    <w:p w14:paraId="242FBA42" w14:textId="12B6B19F" w:rsidR="007E0193" w:rsidRPr="00375C89" w:rsidRDefault="00097864" w:rsidP="00DB712B">
      <w:pPr>
        <w:pStyle w:val="ListParagraph"/>
        <w:numPr>
          <w:ilvl w:val="0"/>
          <w:numId w:val="12"/>
        </w:numPr>
        <w:spacing w:after="0" w:line="360" w:lineRule="auto"/>
        <w:ind w:left="567" w:hanging="371"/>
        <w:jc w:val="center"/>
        <w:rPr>
          <w:rFonts w:ascii="Times New Roman" w:hAnsi="Times New Roman" w:cs="Times New Roman"/>
          <w:sz w:val="24"/>
          <w:szCs w:val="24"/>
        </w:rPr>
      </w:pPr>
      <w:r w:rsidRPr="00375C89">
        <w:rPr>
          <w:rFonts w:ascii="Times New Roman" w:hAnsi="Times New Roman" w:cs="Times New Roman"/>
          <w:sz w:val="24"/>
          <w:szCs w:val="24"/>
        </w:rPr>
        <w:t>THE QUANTITATIVE STI RISK GRADIENT ASSOCIATED WITH DYSBIOSIS</w:t>
      </w:r>
    </w:p>
    <w:p w14:paraId="4D10E93D" w14:textId="764FAB91" w:rsidR="001D54C8" w:rsidRPr="00375C89" w:rsidRDefault="008038F1" w:rsidP="00CD2EE6">
      <w:pPr>
        <w:spacing w:after="0" w:line="360" w:lineRule="auto"/>
        <w:jc w:val="both"/>
        <w:rPr>
          <w:rFonts w:ascii="Times New Roman" w:hAnsi="Times New Roman" w:cs="Times New Roman"/>
          <w:sz w:val="24"/>
          <w:szCs w:val="24"/>
        </w:rPr>
      </w:pPr>
      <w:r w:rsidRPr="00375C89">
        <w:rPr>
          <w:rFonts w:ascii="Times New Roman" w:hAnsi="Times New Roman" w:cs="Times New Roman"/>
          <w:sz w:val="24"/>
          <w:szCs w:val="24"/>
        </w:rPr>
        <w:t>Bacterial vaginosis (BV) is a well-established and potent predictor of sexually transmitted infection (STI). The reason behind that is due to a woman’s permissive behavior, which leads to dysbiosis of the vagina. The evidence from the epidemiological studies confirms the dose-dependent relationship wherein women with high vaginal dysbiosis (Nugent score of 9-10) had an increased risk of 2.7 times in acquiring STIs compared to women with a normal vaginal microbiota (</w:t>
      </w:r>
      <w:r w:rsidRPr="00375C89">
        <w:rPr>
          <w:rFonts w:ascii="Times New Roman" w:hAnsi="Times New Roman" w:cs="Times New Roman"/>
          <w:b/>
          <w:sz w:val="24"/>
          <w:szCs w:val="24"/>
        </w:rPr>
        <w:t xml:space="preserve">Table </w:t>
      </w:r>
      <w:r w:rsidR="006E5453" w:rsidRPr="00375C89">
        <w:rPr>
          <w:rFonts w:ascii="Times New Roman" w:hAnsi="Times New Roman" w:cs="Times New Roman"/>
          <w:b/>
          <w:sz w:val="24"/>
          <w:szCs w:val="24"/>
        </w:rPr>
        <w:t>II</w:t>
      </w:r>
      <w:r w:rsidRPr="00375C89">
        <w:rPr>
          <w:rFonts w:ascii="Times New Roman" w:hAnsi="Times New Roman" w:cs="Times New Roman"/>
          <w:sz w:val="24"/>
          <w:szCs w:val="24"/>
        </w:rPr>
        <w:t xml:space="preserve">). </w:t>
      </w:r>
    </w:p>
    <w:p w14:paraId="2CD1DE94" w14:textId="77777777" w:rsidR="00DB712B" w:rsidRPr="00375C89" w:rsidRDefault="00DB712B" w:rsidP="00DB712B">
      <w:pPr>
        <w:spacing w:line="360" w:lineRule="auto"/>
        <w:ind w:left="142" w:hanging="142"/>
        <w:jc w:val="center"/>
        <w:rPr>
          <w:rFonts w:ascii="Times New Roman" w:hAnsi="Times New Roman" w:cs="Times New Roman"/>
          <w:sz w:val="24"/>
          <w:szCs w:val="24"/>
        </w:rPr>
      </w:pPr>
    </w:p>
    <w:p w14:paraId="48009918" w14:textId="567DA28D" w:rsidR="00B45A25" w:rsidRPr="00375C89" w:rsidRDefault="00DB712B" w:rsidP="00DB712B">
      <w:pPr>
        <w:spacing w:line="360" w:lineRule="auto"/>
        <w:ind w:left="142" w:hanging="142"/>
        <w:jc w:val="center"/>
        <w:rPr>
          <w:rFonts w:ascii="Times New Roman" w:hAnsi="Times New Roman" w:cs="Times New Roman"/>
          <w:sz w:val="24"/>
          <w:szCs w:val="24"/>
        </w:rPr>
      </w:pPr>
      <w:r w:rsidRPr="00375C89">
        <w:rPr>
          <w:rFonts w:ascii="Times New Roman" w:hAnsi="Times New Roman" w:cs="Times New Roman"/>
          <w:b/>
          <w:sz w:val="24"/>
          <w:szCs w:val="24"/>
        </w:rPr>
        <w:t>TABLE II</w:t>
      </w:r>
      <w:r w:rsidR="0005485B" w:rsidRPr="00375C89">
        <w:rPr>
          <w:rFonts w:ascii="Times New Roman" w:hAnsi="Times New Roman" w:cs="Times New Roman"/>
          <w:sz w:val="24"/>
          <w:szCs w:val="24"/>
        </w:rPr>
        <w:t xml:space="preserve">. </w:t>
      </w:r>
      <w:r w:rsidRPr="00375C89">
        <w:rPr>
          <w:rFonts w:ascii="Times New Roman" w:hAnsi="Times New Roman" w:cs="Times New Roman"/>
          <w:sz w:val="24"/>
          <w:szCs w:val="24"/>
        </w:rPr>
        <w:t>RELATIONSHIP BETWEEN SEXUALLY TRANSMITTED INFECTION (STI), RISK ENHANCEMENT AND MICROBIAL DYSBIOSIS</w:t>
      </w:r>
    </w:p>
    <w:tbl>
      <w:tblPr>
        <w:tblStyle w:val="TableGrid"/>
        <w:tblW w:w="0" w:type="auto"/>
        <w:tblInd w:w="108" w:type="dxa"/>
        <w:tblLook w:val="04A0" w:firstRow="1" w:lastRow="0" w:firstColumn="1" w:lastColumn="0" w:noHBand="0" w:noVBand="1"/>
      </w:tblPr>
      <w:tblGrid>
        <w:gridCol w:w="643"/>
        <w:gridCol w:w="1755"/>
        <w:gridCol w:w="1892"/>
        <w:gridCol w:w="2874"/>
        <w:gridCol w:w="1744"/>
      </w:tblGrid>
      <w:tr w:rsidR="00417E88" w:rsidRPr="00375C89" w14:paraId="2BB4B425" w14:textId="194CA8A2" w:rsidTr="00CC264E">
        <w:tc>
          <w:tcPr>
            <w:tcW w:w="572" w:type="dxa"/>
            <w:vAlign w:val="center"/>
            <w:hideMark/>
          </w:tcPr>
          <w:p w14:paraId="59FE0B87" w14:textId="6A325210" w:rsidR="00417E88" w:rsidRPr="00375C89" w:rsidRDefault="00D827D5" w:rsidP="00E123FA">
            <w:pPr>
              <w:spacing w:after="200" w:line="360" w:lineRule="auto"/>
              <w:jc w:val="center"/>
              <w:rPr>
                <w:rFonts w:ascii="Times New Roman" w:hAnsi="Times New Roman" w:cs="Times New Roman"/>
                <w:b/>
                <w:bCs/>
                <w:sz w:val="24"/>
                <w:szCs w:val="24"/>
              </w:rPr>
            </w:pPr>
            <w:r w:rsidRPr="00375C89">
              <w:rPr>
                <w:rFonts w:ascii="Times New Roman" w:hAnsi="Times New Roman" w:cs="Times New Roman"/>
                <w:b/>
                <w:bCs/>
                <w:sz w:val="24"/>
                <w:szCs w:val="24"/>
              </w:rPr>
              <w:t>S.N.</w:t>
            </w:r>
          </w:p>
        </w:tc>
        <w:tc>
          <w:tcPr>
            <w:tcW w:w="0" w:type="auto"/>
            <w:vAlign w:val="center"/>
          </w:tcPr>
          <w:p w14:paraId="239FC9E1" w14:textId="360334DD" w:rsidR="00417E88" w:rsidRPr="00375C89" w:rsidRDefault="00417E88" w:rsidP="00E123FA">
            <w:pPr>
              <w:spacing w:line="360" w:lineRule="auto"/>
              <w:jc w:val="center"/>
              <w:rPr>
                <w:rFonts w:ascii="Times New Roman" w:hAnsi="Times New Roman" w:cs="Times New Roman"/>
                <w:b/>
                <w:bCs/>
                <w:sz w:val="24"/>
                <w:szCs w:val="24"/>
              </w:rPr>
            </w:pPr>
            <w:r w:rsidRPr="00375C89">
              <w:rPr>
                <w:rFonts w:ascii="Times New Roman" w:hAnsi="Times New Roman" w:cs="Times New Roman"/>
                <w:b/>
                <w:bCs/>
                <w:sz w:val="24"/>
                <w:szCs w:val="24"/>
              </w:rPr>
              <w:t>STI Pathogen</w:t>
            </w:r>
          </w:p>
        </w:tc>
        <w:tc>
          <w:tcPr>
            <w:tcW w:w="0" w:type="auto"/>
            <w:vAlign w:val="center"/>
            <w:hideMark/>
          </w:tcPr>
          <w:p w14:paraId="020D23C5" w14:textId="50067ABF" w:rsidR="00417E88" w:rsidRPr="00375C89" w:rsidRDefault="00417E88" w:rsidP="00E123FA">
            <w:pPr>
              <w:spacing w:after="200" w:line="360" w:lineRule="auto"/>
              <w:jc w:val="center"/>
              <w:rPr>
                <w:rFonts w:ascii="Times New Roman" w:hAnsi="Times New Roman" w:cs="Times New Roman"/>
                <w:b/>
                <w:bCs/>
                <w:sz w:val="24"/>
                <w:szCs w:val="24"/>
              </w:rPr>
            </w:pPr>
            <w:r w:rsidRPr="00375C89">
              <w:rPr>
                <w:rFonts w:ascii="Times New Roman" w:hAnsi="Times New Roman" w:cs="Times New Roman"/>
                <w:b/>
                <w:bCs/>
                <w:sz w:val="24"/>
                <w:szCs w:val="24"/>
              </w:rPr>
              <w:t>Risk Elevation</w:t>
            </w:r>
          </w:p>
        </w:tc>
        <w:tc>
          <w:tcPr>
            <w:tcW w:w="0" w:type="auto"/>
            <w:vAlign w:val="center"/>
            <w:hideMark/>
          </w:tcPr>
          <w:p w14:paraId="4D21FB5B" w14:textId="77777777" w:rsidR="00417E88" w:rsidRPr="00375C89" w:rsidRDefault="00417E88" w:rsidP="00E123FA">
            <w:pPr>
              <w:spacing w:after="200" w:line="360" w:lineRule="auto"/>
              <w:jc w:val="center"/>
              <w:rPr>
                <w:rFonts w:ascii="Times New Roman" w:hAnsi="Times New Roman" w:cs="Times New Roman"/>
                <w:b/>
                <w:bCs/>
                <w:sz w:val="24"/>
                <w:szCs w:val="24"/>
              </w:rPr>
            </w:pPr>
            <w:r w:rsidRPr="00375C89">
              <w:rPr>
                <w:rFonts w:ascii="Times New Roman" w:hAnsi="Times New Roman" w:cs="Times New Roman"/>
                <w:b/>
                <w:bCs/>
                <w:sz w:val="24"/>
                <w:szCs w:val="24"/>
              </w:rPr>
              <w:t>Mechanistic Basis</w:t>
            </w:r>
          </w:p>
        </w:tc>
        <w:tc>
          <w:tcPr>
            <w:tcW w:w="0" w:type="auto"/>
            <w:vAlign w:val="center"/>
          </w:tcPr>
          <w:p w14:paraId="2CEE05B3" w14:textId="7126E5CB" w:rsidR="00417E88" w:rsidRPr="00375C89" w:rsidRDefault="00417E88" w:rsidP="00E123FA">
            <w:pPr>
              <w:spacing w:line="360" w:lineRule="auto"/>
              <w:jc w:val="center"/>
              <w:rPr>
                <w:rFonts w:ascii="Times New Roman" w:hAnsi="Times New Roman" w:cs="Times New Roman"/>
                <w:b/>
                <w:bCs/>
                <w:sz w:val="24"/>
                <w:szCs w:val="24"/>
              </w:rPr>
            </w:pPr>
            <w:r w:rsidRPr="00375C89">
              <w:rPr>
                <w:rFonts w:ascii="Times New Roman" w:hAnsi="Times New Roman" w:cs="Times New Roman"/>
                <w:b/>
                <w:bCs/>
                <w:sz w:val="24"/>
                <w:szCs w:val="24"/>
              </w:rPr>
              <w:t>References</w:t>
            </w:r>
          </w:p>
        </w:tc>
      </w:tr>
      <w:tr w:rsidR="00417E88" w:rsidRPr="00375C89" w14:paraId="4D5EE84F" w14:textId="425D7C5E" w:rsidTr="00CC264E">
        <w:tc>
          <w:tcPr>
            <w:tcW w:w="572" w:type="dxa"/>
            <w:vAlign w:val="center"/>
          </w:tcPr>
          <w:p w14:paraId="4E6FB101" w14:textId="338EED95" w:rsidR="00417E88" w:rsidRPr="00375C89" w:rsidRDefault="00945340"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1.</w:t>
            </w:r>
          </w:p>
        </w:tc>
        <w:tc>
          <w:tcPr>
            <w:tcW w:w="0" w:type="auto"/>
            <w:vAlign w:val="center"/>
          </w:tcPr>
          <w:p w14:paraId="48A77D61" w14:textId="5FA33571" w:rsidR="00417E88" w:rsidRPr="00375C89" w:rsidRDefault="00417E88" w:rsidP="00B10E02">
            <w:pPr>
              <w:jc w:val="center"/>
              <w:rPr>
                <w:rFonts w:ascii="Times New Roman" w:hAnsi="Times New Roman" w:cs="Times New Roman"/>
                <w:sz w:val="24"/>
                <w:szCs w:val="24"/>
              </w:rPr>
            </w:pPr>
            <w:r w:rsidRPr="00375C89">
              <w:rPr>
                <w:rFonts w:ascii="Times New Roman" w:hAnsi="Times New Roman" w:cs="Times New Roman"/>
                <w:i/>
                <w:iCs/>
                <w:sz w:val="24"/>
                <w:szCs w:val="24"/>
              </w:rPr>
              <w:t>Neisseria gonorrhoeae</w:t>
            </w:r>
          </w:p>
        </w:tc>
        <w:tc>
          <w:tcPr>
            <w:tcW w:w="0" w:type="auto"/>
            <w:vAlign w:val="center"/>
            <w:hideMark/>
          </w:tcPr>
          <w:p w14:paraId="2DE64ABB" w14:textId="44108412"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1.8-fold increased risk​</w:t>
            </w:r>
          </w:p>
        </w:tc>
        <w:tc>
          <w:tcPr>
            <w:tcW w:w="0" w:type="auto"/>
            <w:vAlign w:val="center"/>
            <w:hideMark/>
          </w:tcPr>
          <w:p w14:paraId="76CDB9D4" w14:textId="77777777"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Epithelial damage; pathogen access to upper tract</w:t>
            </w:r>
          </w:p>
        </w:tc>
        <w:tc>
          <w:tcPr>
            <w:tcW w:w="0" w:type="auto"/>
            <w:vAlign w:val="center"/>
          </w:tcPr>
          <w:p w14:paraId="177901E9" w14:textId="5D31EB17" w:rsidR="00417E88" w:rsidRPr="00375C89" w:rsidRDefault="00583DD5" w:rsidP="00B10E02">
            <w:pPr>
              <w:jc w:val="center"/>
              <w:rPr>
                <w:rFonts w:ascii="Times New Roman" w:hAnsi="Times New Roman" w:cs="Times New Roman"/>
                <w:sz w:val="24"/>
                <w:szCs w:val="24"/>
              </w:rPr>
            </w:pPr>
            <w:r w:rsidRPr="00375C89">
              <w:rPr>
                <w:rFonts w:ascii="Times New Roman" w:hAnsi="Times New Roman" w:cs="Times New Roman"/>
                <w:sz w:val="24"/>
                <w:szCs w:val="24"/>
              </w:rPr>
              <w:t>Wiesenfeld et al. 2003</w:t>
            </w:r>
          </w:p>
        </w:tc>
      </w:tr>
      <w:tr w:rsidR="00417E88" w:rsidRPr="00375C89" w14:paraId="74620D39" w14:textId="184B005E" w:rsidTr="00CC264E">
        <w:tc>
          <w:tcPr>
            <w:tcW w:w="572" w:type="dxa"/>
            <w:vAlign w:val="center"/>
          </w:tcPr>
          <w:p w14:paraId="4D0306ED" w14:textId="7E941AE8" w:rsidR="00417E88" w:rsidRPr="00375C89" w:rsidRDefault="00945340"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2.</w:t>
            </w:r>
          </w:p>
        </w:tc>
        <w:tc>
          <w:tcPr>
            <w:tcW w:w="0" w:type="auto"/>
            <w:vAlign w:val="center"/>
          </w:tcPr>
          <w:p w14:paraId="7D7E6A67" w14:textId="13461715" w:rsidR="00417E88" w:rsidRPr="00375C89" w:rsidRDefault="00417E88" w:rsidP="00B10E02">
            <w:pPr>
              <w:jc w:val="center"/>
              <w:rPr>
                <w:rFonts w:ascii="Times New Roman" w:hAnsi="Times New Roman" w:cs="Times New Roman"/>
                <w:sz w:val="24"/>
                <w:szCs w:val="24"/>
              </w:rPr>
            </w:pPr>
            <w:r w:rsidRPr="00375C89">
              <w:rPr>
                <w:rFonts w:ascii="Times New Roman" w:hAnsi="Times New Roman" w:cs="Times New Roman"/>
                <w:i/>
                <w:iCs/>
                <w:sz w:val="24"/>
                <w:szCs w:val="24"/>
              </w:rPr>
              <w:t>Chlamydia trachomatis</w:t>
            </w:r>
          </w:p>
        </w:tc>
        <w:tc>
          <w:tcPr>
            <w:tcW w:w="0" w:type="auto"/>
            <w:vAlign w:val="center"/>
            <w:hideMark/>
          </w:tcPr>
          <w:p w14:paraId="082D7EFA" w14:textId="5C81E015"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1.9-fold increased risk​</w:t>
            </w:r>
          </w:p>
        </w:tc>
        <w:tc>
          <w:tcPr>
            <w:tcW w:w="0" w:type="auto"/>
            <w:vAlign w:val="center"/>
            <w:hideMark/>
          </w:tcPr>
          <w:p w14:paraId="546CFE3B" w14:textId="77777777"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Loss of protective lactobacilli; epithelial permeability</w:t>
            </w:r>
          </w:p>
        </w:tc>
        <w:tc>
          <w:tcPr>
            <w:tcW w:w="0" w:type="auto"/>
            <w:vAlign w:val="center"/>
          </w:tcPr>
          <w:p w14:paraId="1059DCE2" w14:textId="5F14CC63" w:rsidR="00417E88" w:rsidRPr="00375C89" w:rsidRDefault="00583DD5" w:rsidP="00B10E02">
            <w:pPr>
              <w:jc w:val="center"/>
              <w:rPr>
                <w:rFonts w:ascii="Times New Roman" w:hAnsi="Times New Roman" w:cs="Times New Roman"/>
                <w:sz w:val="24"/>
                <w:szCs w:val="24"/>
              </w:rPr>
            </w:pPr>
            <w:r w:rsidRPr="00375C89">
              <w:rPr>
                <w:rFonts w:ascii="Times New Roman" w:hAnsi="Times New Roman" w:cs="Times New Roman"/>
                <w:sz w:val="24"/>
                <w:szCs w:val="24"/>
              </w:rPr>
              <w:t>Wiesenfeld et al. 2003</w:t>
            </w:r>
          </w:p>
        </w:tc>
      </w:tr>
      <w:tr w:rsidR="00417E88" w:rsidRPr="00375C89" w14:paraId="2EEC21BA" w14:textId="627B8F8F" w:rsidTr="00CC264E">
        <w:tc>
          <w:tcPr>
            <w:tcW w:w="572" w:type="dxa"/>
            <w:vAlign w:val="center"/>
          </w:tcPr>
          <w:p w14:paraId="70A24435" w14:textId="30F25178" w:rsidR="00417E88" w:rsidRPr="00375C89" w:rsidRDefault="00945340"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3.</w:t>
            </w:r>
          </w:p>
        </w:tc>
        <w:tc>
          <w:tcPr>
            <w:tcW w:w="0" w:type="auto"/>
            <w:vAlign w:val="center"/>
          </w:tcPr>
          <w:p w14:paraId="21397E22" w14:textId="02F02ABE" w:rsidR="00417E88" w:rsidRPr="00375C89" w:rsidRDefault="00417E88" w:rsidP="00B10E02">
            <w:pPr>
              <w:jc w:val="center"/>
              <w:rPr>
                <w:rFonts w:ascii="Times New Roman" w:hAnsi="Times New Roman" w:cs="Times New Roman"/>
                <w:sz w:val="24"/>
                <w:szCs w:val="24"/>
              </w:rPr>
            </w:pPr>
            <w:r w:rsidRPr="00375C89">
              <w:rPr>
                <w:rFonts w:ascii="Times New Roman" w:hAnsi="Times New Roman" w:cs="Times New Roman"/>
                <w:i/>
                <w:iCs/>
                <w:sz w:val="24"/>
                <w:szCs w:val="24"/>
              </w:rPr>
              <w:t>Trichomonas vaginalis</w:t>
            </w:r>
          </w:p>
        </w:tc>
        <w:tc>
          <w:tcPr>
            <w:tcW w:w="0" w:type="auto"/>
            <w:vAlign w:val="center"/>
            <w:hideMark/>
          </w:tcPr>
          <w:p w14:paraId="1C1F92E0" w14:textId="75C4FD62"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Elevated susceptibility​</w:t>
            </w:r>
          </w:p>
        </w:tc>
        <w:tc>
          <w:tcPr>
            <w:tcW w:w="0" w:type="auto"/>
            <w:vAlign w:val="center"/>
            <w:hideMark/>
          </w:tcPr>
          <w:p w14:paraId="02526B54" w14:textId="77777777"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Epithelial damage; inflammatory milieu facilitates parasitic invasion</w:t>
            </w:r>
          </w:p>
        </w:tc>
        <w:tc>
          <w:tcPr>
            <w:tcW w:w="0" w:type="auto"/>
            <w:vAlign w:val="center"/>
          </w:tcPr>
          <w:p w14:paraId="393F4966" w14:textId="7E986D66" w:rsidR="00417E88" w:rsidRPr="00375C89" w:rsidRDefault="00583DD5" w:rsidP="00B10E02">
            <w:pPr>
              <w:jc w:val="center"/>
              <w:rPr>
                <w:rFonts w:ascii="Times New Roman" w:hAnsi="Times New Roman" w:cs="Times New Roman"/>
                <w:sz w:val="24"/>
                <w:szCs w:val="24"/>
              </w:rPr>
            </w:pPr>
            <w:r w:rsidRPr="00375C89">
              <w:rPr>
                <w:rFonts w:ascii="Times New Roman" w:hAnsi="Times New Roman" w:cs="Times New Roman"/>
                <w:sz w:val="24"/>
                <w:szCs w:val="24"/>
              </w:rPr>
              <w:t>Shipitsyna et al.</w:t>
            </w:r>
            <w:r w:rsidR="00566C3E" w:rsidRPr="00375C89">
              <w:rPr>
                <w:rFonts w:ascii="Times New Roman" w:hAnsi="Times New Roman" w:cs="Times New Roman"/>
                <w:sz w:val="24"/>
                <w:szCs w:val="24"/>
              </w:rPr>
              <w:t xml:space="preserve"> </w:t>
            </w:r>
            <w:r w:rsidRPr="00375C89">
              <w:rPr>
                <w:rFonts w:ascii="Times New Roman" w:hAnsi="Times New Roman" w:cs="Times New Roman"/>
                <w:sz w:val="24"/>
                <w:szCs w:val="24"/>
              </w:rPr>
              <w:t>2020</w:t>
            </w:r>
          </w:p>
        </w:tc>
      </w:tr>
      <w:tr w:rsidR="00417E88" w:rsidRPr="00375C89" w14:paraId="1DDF59B5" w14:textId="4BEFAFD6" w:rsidTr="00CC264E">
        <w:tc>
          <w:tcPr>
            <w:tcW w:w="572" w:type="dxa"/>
            <w:vAlign w:val="center"/>
          </w:tcPr>
          <w:p w14:paraId="33D6967E" w14:textId="4A3FE20B" w:rsidR="00417E88" w:rsidRPr="00375C89" w:rsidRDefault="00945340"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4.</w:t>
            </w:r>
          </w:p>
        </w:tc>
        <w:tc>
          <w:tcPr>
            <w:tcW w:w="0" w:type="auto"/>
            <w:vAlign w:val="center"/>
          </w:tcPr>
          <w:p w14:paraId="1FA73B6A" w14:textId="52A471A5" w:rsidR="00417E88" w:rsidRPr="00375C89" w:rsidRDefault="00417E88" w:rsidP="00B10E02">
            <w:pPr>
              <w:jc w:val="center"/>
              <w:rPr>
                <w:rFonts w:ascii="Times New Roman" w:hAnsi="Times New Roman" w:cs="Times New Roman"/>
                <w:sz w:val="24"/>
                <w:szCs w:val="24"/>
              </w:rPr>
            </w:pPr>
            <w:r w:rsidRPr="00375C89">
              <w:rPr>
                <w:rFonts w:ascii="Times New Roman" w:hAnsi="Times New Roman" w:cs="Times New Roman"/>
                <w:sz w:val="24"/>
                <w:szCs w:val="24"/>
              </w:rPr>
              <w:t>Herpes Simplex Virus-2</w:t>
            </w:r>
          </w:p>
        </w:tc>
        <w:tc>
          <w:tcPr>
            <w:tcW w:w="0" w:type="auto"/>
            <w:vAlign w:val="center"/>
            <w:hideMark/>
          </w:tcPr>
          <w:p w14:paraId="4A5839E9" w14:textId="35A896A0"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BV is independent risk factor​</w:t>
            </w:r>
          </w:p>
        </w:tc>
        <w:tc>
          <w:tcPr>
            <w:tcW w:w="0" w:type="auto"/>
            <w:vAlign w:val="center"/>
            <w:hideMark/>
          </w:tcPr>
          <w:p w14:paraId="35B28D31" w14:textId="77777777"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Epithelial ulceration; inflammatory cell recruitment</w:t>
            </w:r>
          </w:p>
        </w:tc>
        <w:tc>
          <w:tcPr>
            <w:tcW w:w="0" w:type="auto"/>
            <w:vAlign w:val="center"/>
          </w:tcPr>
          <w:p w14:paraId="45398028" w14:textId="5059A61E" w:rsidR="00417E88" w:rsidRPr="00375C89" w:rsidRDefault="00583DD5" w:rsidP="00B10E02">
            <w:pPr>
              <w:jc w:val="center"/>
              <w:rPr>
                <w:rFonts w:ascii="Times New Roman" w:hAnsi="Times New Roman" w:cs="Times New Roman"/>
                <w:sz w:val="24"/>
                <w:szCs w:val="24"/>
              </w:rPr>
            </w:pPr>
            <w:r w:rsidRPr="00375C89">
              <w:rPr>
                <w:rFonts w:ascii="Times New Roman" w:hAnsi="Times New Roman" w:cs="Times New Roman"/>
                <w:sz w:val="24"/>
                <w:szCs w:val="24"/>
              </w:rPr>
              <w:t>CDC STI Guidelines (2021)</w:t>
            </w:r>
          </w:p>
        </w:tc>
      </w:tr>
      <w:tr w:rsidR="00417E88" w:rsidRPr="00375C89" w14:paraId="26885742" w14:textId="3142B0C5" w:rsidTr="00CC264E">
        <w:tc>
          <w:tcPr>
            <w:tcW w:w="572" w:type="dxa"/>
            <w:vAlign w:val="center"/>
          </w:tcPr>
          <w:p w14:paraId="4CB30DFA" w14:textId="46A67745" w:rsidR="00417E88" w:rsidRPr="00375C89" w:rsidRDefault="00945340"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6.</w:t>
            </w:r>
          </w:p>
        </w:tc>
        <w:tc>
          <w:tcPr>
            <w:tcW w:w="0" w:type="auto"/>
            <w:vAlign w:val="center"/>
          </w:tcPr>
          <w:p w14:paraId="612B6048" w14:textId="279145C9" w:rsidR="00417E88" w:rsidRPr="00375C89" w:rsidRDefault="00417E88" w:rsidP="00B10E02">
            <w:pPr>
              <w:jc w:val="center"/>
              <w:rPr>
                <w:rFonts w:ascii="Times New Roman" w:hAnsi="Times New Roman" w:cs="Times New Roman"/>
                <w:sz w:val="24"/>
                <w:szCs w:val="24"/>
              </w:rPr>
            </w:pPr>
            <w:r w:rsidRPr="00375C89">
              <w:rPr>
                <w:rFonts w:ascii="Times New Roman" w:hAnsi="Times New Roman" w:cs="Times New Roman"/>
                <w:i/>
                <w:iCs/>
                <w:sz w:val="24"/>
                <w:szCs w:val="24"/>
              </w:rPr>
              <w:t>Mycoplasma genitalium</w:t>
            </w:r>
          </w:p>
        </w:tc>
        <w:tc>
          <w:tcPr>
            <w:tcW w:w="0" w:type="auto"/>
            <w:vAlign w:val="center"/>
            <w:hideMark/>
          </w:tcPr>
          <w:p w14:paraId="0C2C0F5B" w14:textId="6E558064"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Enhanced susceptibility​</w:t>
            </w:r>
          </w:p>
        </w:tc>
        <w:tc>
          <w:tcPr>
            <w:tcW w:w="0" w:type="auto"/>
            <w:vAlign w:val="center"/>
            <w:hideMark/>
          </w:tcPr>
          <w:p w14:paraId="1155E03E" w14:textId="77777777"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Epithelial barrier loss; immune dysregulation</w:t>
            </w:r>
          </w:p>
        </w:tc>
        <w:tc>
          <w:tcPr>
            <w:tcW w:w="0" w:type="auto"/>
            <w:vAlign w:val="center"/>
          </w:tcPr>
          <w:p w14:paraId="66844417" w14:textId="38A9E0FC" w:rsidR="00417E88" w:rsidRPr="00375C89" w:rsidRDefault="00583DD5" w:rsidP="00B10E02">
            <w:pPr>
              <w:jc w:val="center"/>
              <w:rPr>
                <w:rFonts w:ascii="Times New Roman" w:hAnsi="Times New Roman" w:cs="Times New Roman"/>
                <w:sz w:val="24"/>
                <w:szCs w:val="24"/>
              </w:rPr>
            </w:pPr>
            <w:r w:rsidRPr="00375C89">
              <w:rPr>
                <w:rFonts w:ascii="Times New Roman" w:hAnsi="Times New Roman" w:cs="Times New Roman"/>
                <w:sz w:val="24"/>
                <w:szCs w:val="24"/>
              </w:rPr>
              <w:t>Shipitsyna et al. 2020</w:t>
            </w:r>
          </w:p>
        </w:tc>
      </w:tr>
      <w:tr w:rsidR="00417E88" w:rsidRPr="00375C89" w14:paraId="5EEF557D" w14:textId="7B350DFA" w:rsidTr="00CC264E">
        <w:tc>
          <w:tcPr>
            <w:tcW w:w="572" w:type="dxa"/>
            <w:vAlign w:val="center"/>
          </w:tcPr>
          <w:p w14:paraId="5788434F" w14:textId="09142E6F" w:rsidR="00417E88" w:rsidRPr="00375C89" w:rsidRDefault="00945340"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7.</w:t>
            </w:r>
          </w:p>
        </w:tc>
        <w:tc>
          <w:tcPr>
            <w:tcW w:w="0" w:type="auto"/>
            <w:vAlign w:val="center"/>
          </w:tcPr>
          <w:p w14:paraId="67B58A9D" w14:textId="0B2F04EB" w:rsidR="00417E88" w:rsidRPr="00375C89" w:rsidRDefault="00417E88" w:rsidP="00B10E02">
            <w:pPr>
              <w:jc w:val="center"/>
              <w:rPr>
                <w:rFonts w:ascii="Times New Roman" w:hAnsi="Times New Roman" w:cs="Times New Roman"/>
                <w:sz w:val="24"/>
                <w:szCs w:val="24"/>
              </w:rPr>
            </w:pPr>
            <w:r w:rsidRPr="00375C89">
              <w:rPr>
                <w:rFonts w:ascii="Times New Roman" w:hAnsi="Times New Roman" w:cs="Times New Roman"/>
                <w:sz w:val="24"/>
                <w:szCs w:val="24"/>
              </w:rPr>
              <w:t>HIV</w:t>
            </w:r>
          </w:p>
        </w:tc>
        <w:tc>
          <w:tcPr>
            <w:tcW w:w="0" w:type="auto"/>
            <w:vAlign w:val="center"/>
            <w:hideMark/>
          </w:tcPr>
          <w:p w14:paraId="218B20B7" w14:textId="58198FFC"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6-fold increased shedding​</w:t>
            </w:r>
          </w:p>
        </w:tc>
        <w:tc>
          <w:tcPr>
            <w:tcW w:w="0" w:type="auto"/>
            <w:vAlign w:val="center"/>
            <w:hideMark/>
          </w:tcPr>
          <w:p w14:paraId="7172DF59" w14:textId="77777777" w:rsidR="00417E88" w:rsidRPr="00375C89" w:rsidRDefault="00417E88" w:rsidP="00B10E02">
            <w:pPr>
              <w:spacing w:after="200"/>
              <w:jc w:val="center"/>
              <w:rPr>
                <w:rFonts w:ascii="Times New Roman" w:hAnsi="Times New Roman" w:cs="Times New Roman"/>
                <w:sz w:val="24"/>
                <w:szCs w:val="24"/>
              </w:rPr>
            </w:pPr>
            <w:r w:rsidRPr="00375C89">
              <w:rPr>
                <w:rFonts w:ascii="Times New Roman" w:hAnsi="Times New Roman" w:cs="Times New Roman"/>
                <w:sz w:val="24"/>
                <w:szCs w:val="24"/>
              </w:rPr>
              <w:t>Maximum risk elevation; multiple mechanisms</w:t>
            </w:r>
          </w:p>
        </w:tc>
        <w:tc>
          <w:tcPr>
            <w:tcW w:w="0" w:type="auto"/>
            <w:vAlign w:val="center"/>
          </w:tcPr>
          <w:p w14:paraId="3D66380A" w14:textId="6A20AA4E" w:rsidR="00417E88" w:rsidRPr="00375C89" w:rsidRDefault="00583DD5" w:rsidP="00B10E02">
            <w:pPr>
              <w:jc w:val="center"/>
              <w:rPr>
                <w:rFonts w:ascii="Times New Roman" w:hAnsi="Times New Roman" w:cs="Times New Roman"/>
                <w:sz w:val="24"/>
                <w:szCs w:val="24"/>
              </w:rPr>
            </w:pPr>
            <w:r w:rsidRPr="00375C89">
              <w:rPr>
                <w:rFonts w:ascii="Times New Roman" w:hAnsi="Times New Roman" w:cs="Times New Roman"/>
                <w:sz w:val="24"/>
                <w:szCs w:val="24"/>
              </w:rPr>
              <w:t>CDC STI Guidelines (</w:t>
            </w:r>
            <w:r w:rsidR="005E5B07" w:rsidRPr="00375C89">
              <w:rPr>
                <w:rFonts w:ascii="Times New Roman" w:hAnsi="Times New Roman" w:cs="Times New Roman"/>
                <w:sz w:val="24"/>
                <w:szCs w:val="24"/>
              </w:rPr>
              <w:t>2021)</w:t>
            </w:r>
          </w:p>
        </w:tc>
      </w:tr>
    </w:tbl>
    <w:p w14:paraId="3F1781B4" w14:textId="77777777" w:rsidR="003A6C0A" w:rsidRPr="00375C89" w:rsidRDefault="003A6C0A" w:rsidP="00B63921">
      <w:pPr>
        <w:spacing w:line="360" w:lineRule="auto"/>
        <w:jc w:val="both"/>
        <w:rPr>
          <w:rFonts w:ascii="Times New Roman" w:hAnsi="Times New Roman" w:cs="Times New Roman"/>
          <w:sz w:val="24"/>
          <w:szCs w:val="24"/>
        </w:rPr>
      </w:pPr>
    </w:p>
    <w:p w14:paraId="23953D97" w14:textId="740CE1AB" w:rsidR="00B85F57" w:rsidRPr="00375C89" w:rsidRDefault="00DB712B" w:rsidP="00DB712B">
      <w:pPr>
        <w:pStyle w:val="ListParagraph"/>
        <w:numPr>
          <w:ilvl w:val="0"/>
          <w:numId w:val="12"/>
        </w:numPr>
        <w:spacing w:after="0" w:line="360" w:lineRule="auto"/>
        <w:ind w:left="284" w:firstLine="850"/>
        <w:rPr>
          <w:rFonts w:ascii="Times New Roman" w:hAnsi="Times New Roman" w:cs="Times New Roman"/>
          <w:sz w:val="24"/>
          <w:szCs w:val="24"/>
        </w:rPr>
      </w:pPr>
      <w:r w:rsidRPr="00375C89">
        <w:rPr>
          <w:rFonts w:ascii="Times New Roman" w:hAnsi="Times New Roman" w:cs="Times New Roman"/>
          <w:sz w:val="24"/>
          <w:szCs w:val="24"/>
        </w:rPr>
        <w:t xml:space="preserve">MECHANISTIC PATHWAYS OF FUNCTIONAL </w:t>
      </w:r>
      <w:r w:rsidR="005D6A66">
        <w:rPr>
          <w:rFonts w:ascii="Times New Roman" w:hAnsi="Times New Roman" w:cs="Times New Roman"/>
          <w:sz w:val="24"/>
          <w:szCs w:val="24"/>
        </w:rPr>
        <w:t>EUBIOSIS</w:t>
      </w:r>
    </w:p>
    <w:p w14:paraId="77DE178C" w14:textId="77777777" w:rsidR="00F86B03" w:rsidRPr="00375C89" w:rsidRDefault="00F86B03" w:rsidP="00F86B03">
      <w:pPr>
        <w:spacing w:after="0" w:line="360" w:lineRule="auto"/>
        <w:jc w:val="both"/>
        <w:rPr>
          <w:rFonts w:ascii="Times New Roman" w:hAnsi="Times New Roman" w:cs="Times New Roman"/>
          <w:sz w:val="24"/>
          <w:szCs w:val="24"/>
        </w:rPr>
      </w:pPr>
      <w:r w:rsidRPr="00375C89">
        <w:rPr>
          <w:rFonts w:ascii="Times New Roman" w:hAnsi="Times New Roman" w:cs="Times New Roman"/>
          <w:sz w:val="24"/>
          <w:szCs w:val="24"/>
        </w:rPr>
        <w:t>Several interconnected mechanisms contribute to microbiome dysfunction and increased susceptibility to sexually transmitted infections (STIs).</w:t>
      </w:r>
    </w:p>
    <w:p w14:paraId="43B512CF" w14:textId="12BCFBE0" w:rsidR="008038F1" w:rsidRPr="00375C89" w:rsidRDefault="00F86B03" w:rsidP="00F86B03">
      <w:pPr>
        <w:pStyle w:val="ListParagraph"/>
        <w:numPr>
          <w:ilvl w:val="0"/>
          <w:numId w:val="16"/>
        </w:numPr>
        <w:spacing w:after="0" w:line="360" w:lineRule="auto"/>
        <w:ind w:left="142" w:hanging="213"/>
        <w:jc w:val="both"/>
        <w:rPr>
          <w:rFonts w:ascii="Times New Roman" w:hAnsi="Times New Roman" w:cs="Times New Roman"/>
          <w:i/>
          <w:iCs/>
          <w:sz w:val="24"/>
          <w:szCs w:val="24"/>
        </w:rPr>
      </w:pPr>
      <w:r w:rsidRPr="00375C89">
        <w:rPr>
          <w:rFonts w:ascii="Times New Roman" w:hAnsi="Times New Roman" w:cs="Times New Roman"/>
          <w:i/>
          <w:iCs/>
          <w:sz w:val="24"/>
          <w:szCs w:val="24"/>
        </w:rPr>
        <w:t>Epithelial Barrier Disruption</w:t>
      </w:r>
      <w:r w:rsidR="00DB712B"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 xml:space="preserve">Dysbiotic bacteria, especially </w:t>
      </w:r>
      <w:r w:rsidR="008038F1" w:rsidRPr="00375C89">
        <w:rPr>
          <w:rFonts w:ascii="Times New Roman" w:hAnsi="Times New Roman" w:cs="Times New Roman"/>
          <w:i/>
          <w:sz w:val="24"/>
          <w:szCs w:val="24"/>
        </w:rPr>
        <w:t>G. vaginalis</w:t>
      </w:r>
      <w:r w:rsidR="008038F1" w:rsidRPr="00375C89">
        <w:rPr>
          <w:rFonts w:ascii="Times New Roman" w:hAnsi="Times New Roman" w:cs="Times New Roman"/>
          <w:sz w:val="24"/>
          <w:szCs w:val="24"/>
        </w:rPr>
        <w:t>, produce sialidase and proteases to break down cervical mucus and interfere with tight junctions of the epithelium, hence enhancing mucosal permeability. The high levels of reactive oxygen species (ROS) also contribute to epithelial barrier dysfunction</w:t>
      </w:r>
      <w:r w:rsidR="005971E6" w:rsidRPr="00375C89">
        <w:rPr>
          <w:rFonts w:ascii="Times New Roman" w:hAnsi="Times New Roman" w:cs="Times New Roman"/>
          <w:sz w:val="24"/>
          <w:szCs w:val="24"/>
        </w:rPr>
        <w:t xml:space="preserve"> (Deng et al. 2025)</w:t>
      </w:r>
      <w:r w:rsidR="008038F1" w:rsidRPr="00375C89">
        <w:rPr>
          <w:rFonts w:ascii="Times New Roman" w:hAnsi="Times New Roman" w:cs="Times New Roman"/>
          <w:sz w:val="24"/>
          <w:szCs w:val="24"/>
        </w:rPr>
        <w:t>.</w:t>
      </w:r>
    </w:p>
    <w:p w14:paraId="187F6116" w14:textId="5F5174EF" w:rsidR="008038F1" w:rsidRPr="00375C89" w:rsidRDefault="00F86B03" w:rsidP="00F86B03">
      <w:pPr>
        <w:pStyle w:val="ListParagraph"/>
        <w:numPr>
          <w:ilvl w:val="0"/>
          <w:numId w:val="16"/>
        </w:numPr>
        <w:spacing w:after="0" w:line="360" w:lineRule="auto"/>
        <w:ind w:left="142" w:hanging="213"/>
        <w:jc w:val="both"/>
        <w:rPr>
          <w:rFonts w:ascii="Times New Roman" w:hAnsi="Times New Roman" w:cs="Times New Roman"/>
          <w:i/>
          <w:iCs/>
          <w:sz w:val="24"/>
          <w:szCs w:val="24"/>
        </w:rPr>
      </w:pPr>
      <w:r w:rsidRPr="00375C89">
        <w:rPr>
          <w:rFonts w:ascii="Times New Roman" w:hAnsi="Times New Roman" w:cs="Times New Roman"/>
          <w:i/>
          <w:iCs/>
          <w:sz w:val="24"/>
          <w:szCs w:val="24"/>
        </w:rPr>
        <w:t>Impaired Local Innate Immunity</w:t>
      </w:r>
      <w:r w:rsidR="00DB712B"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In the presence of a dominant lactobacilli microbial community, cervicovaginal immunity is enhanced by the production of lactic acid, hydrogen peroxide, and bacteriocins. Dysbiosis disrupts all these activities, reducing colonization resistance and impairment of leucocytes.</w:t>
      </w:r>
    </w:p>
    <w:p w14:paraId="73A25C48" w14:textId="1EBA5859" w:rsidR="008038F1" w:rsidRPr="00375C89" w:rsidRDefault="00F86B03" w:rsidP="00F86B03">
      <w:pPr>
        <w:pStyle w:val="ListParagraph"/>
        <w:numPr>
          <w:ilvl w:val="0"/>
          <w:numId w:val="16"/>
        </w:numPr>
        <w:spacing w:after="0" w:line="360" w:lineRule="auto"/>
        <w:ind w:left="142" w:hanging="213"/>
        <w:jc w:val="both"/>
        <w:rPr>
          <w:rFonts w:ascii="Times New Roman" w:hAnsi="Times New Roman" w:cs="Times New Roman"/>
          <w:i/>
          <w:iCs/>
          <w:sz w:val="24"/>
          <w:szCs w:val="24"/>
        </w:rPr>
      </w:pPr>
      <w:r w:rsidRPr="00375C89">
        <w:rPr>
          <w:rFonts w:ascii="Times New Roman" w:hAnsi="Times New Roman" w:cs="Times New Roman"/>
          <w:i/>
          <w:iCs/>
          <w:sz w:val="24"/>
          <w:szCs w:val="24"/>
        </w:rPr>
        <w:t>Facilitated Ascension to the Upper Reproductive Tract</w:t>
      </w:r>
      <w:r w:rsidR="00DB712B"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 xml:space="preserve">The polymicrobial biofilm development associated with bacterial vaginosis helps in generating anaerobic </w:t>
      </w:r>
      <w:r w:rsidR="008038F1" w:rsidRPr="00375C89">
        <w:rPr>
          <w:rFonts w:ascii="Times New Roman" w:hAnsi="Times New Roman" w:cs="Times New Roman"/>
          <w:sz w:val="24"/>
          <w:szCs w:val="24"/>
        </w:rPr>
        <w:lastRenderedPageBreak/>
        <w:t xml:space="preserve">microenvironments that </w:t>
      </w:r>
      <w:r w:rsidR="00CE6755" w:rsidRPr="00375C89">
        <w:rPr>
          <w:rFonts w:ascii="Times New Roman" w:hAnsi="Times New Roman" w:cs="Times New Roman"/>
          <w:sz w:val="24"/>
          <w:szCs w:val="24"/>
        </w:rPr>
        <w:t>favour</w:t>
      </w:r>
      <w:r w:rsidR="008038F1" w:rsidRPr="00375C89">
        <w:rPr>
          <w:rFonts w:ascii="Times New Roman" w:hAnsi="Times New Roman" w:cs="Times New Roman"/>
          <w:sz w:val="24"/>
          <w:szCs w:val="24"/>
        </w:rPr>
        <w:t xml:space="preserve"> the persistence and ascending spread of microbes. </w:t>
      </w:r>
      <w:r w:rsidR="008038F1" w:rsidRPr="00375C89">
        <w:rPr>
          <w:rFonts w:ascii="Times New Roman" w:hAnsi="Times New Roman" w:cs="Times New Roman"/>
          <w:i/>
          <w:sz w:val="24"/>
          <w:szCs w:val="24"/>
        </w:rPr>
        <w:t>G. vaginalis</w:t>
      </w:r>
      <w:r w:rsidR="008038F1" w:rsidRPr="00375C89">
        <w:rPr>
          <w:rFonts w:ascii="Times New Roman" w:hAnsi="Times New Roman" w:cs="Times New Roman"/>
          <w:sz w:val="24"/>
          <w:szCs w:val="24"/>
        </w:rPr>
        <w:t xml:space="preserve"> is the main biofilm founder, while anaerobes like </w:t>
      </w:r>
      <w:r w:rsidR="008038F1" w:rsidRPr="00375C89">
        <w:rPr>
          <w:rFonts w:ascii="Times New Roman" w:hAnsi="Times New Roman" w:cs="Times New Roman"/>
          <w:i/>
          <w:sz w:val="24"/>
          <w:szCs w:val="24"/>
        </w:rPr>
        <w:t>A. vaginae</w:t>
      </w:r>
      <w:r w:rsidR="008038F1" w:rsidRPr="00375C89">
        <w:rPr>
          <w:rFonts w:ascii="Times New Roman" w:hAnsi="Times New Roman" w:cs="Times New Roman"/>
          <w:sz w:val="24"/>
          <w:szCs w:val="24"/>
        </w:rPr>
        <w:t xml:space="preserve"> contribute to biofilm stability and survival.</w:t>
      </w:r>
    </w:p>
    <w:p w14:paraId="507ABEFD" w14:textId="54914D99" w:rsidR="008038F1" w:rsidRPr="00375C89" w:rsidRDefault="00F86B03" w:rsidP="00F86B03">
      <w:pPr>
        <w:pStyle w:val="ListParagraph"/>
        <w:numPr>
          <w:ilvl w:val="0"/>
          <w:numId w:val="16"/>
        </w:numPr>
        <w:spacing w:after="0" w:line="360" w:lineRule="auto"/>
        <w:ind w:left="142" w:hanging="213"/>
        <w:jc w:val="both"/>
        <w:rPr>
          <w:rFonts w:ascii="Times New Roman" w:hAnsi="Times New Roman" w:cs="Times New Roman"/>
          <w:i/>
          <w:iCs/>
          <w:sz w:val="24"/>
          <w:szCs w:val="24"/>
        </w:rPr>
      </w:pPr>
      <w:r w:rsidRPr="00375C89">
        <w:rPr>
          <w:rFonts w:ascii="Times New Roman" w:hAnsi="Times New Roman" w:cs="Times New Roman"/>
          <w:i/>
          <w:iCs/>
          <w:sz w:val="24"/>
          <w:szCs w:val="24"/>
        </w:rPr>
        <w:t>Pro-inflammatory Recruitment of Pathogen Target Cells</w:t>
      </w:r>
      <w:r w:rsidR="00DB712B" w:rsidRPr="00375C89">
        <w:rPr>
          <w:rFonts w:ascii="Times New Roman" w:hAnsi="Times New Roman" w:cs="Times New Roman"/>
          <w:i/>
          <w:iCs/>
          <w:sz w:val="24"/>
          <w:szCs w:val="24"/>
        </w:rPr>
        <w:t xml:space="preserve">: </w:t>
      </w:r>
      <w:r w:rsidR="008038F1" w:rsidRPr="00375C89">
        <w:rPr>
          <w:rFonts w:ascii="Times New Roman" w:hAnsi="Times New Roman" w:cs="Times New Roman"/>
          <w:sz w:val="24"/>
          <w:szCs w:val="24"/>
        </w:rPr>
        <w:t>Dysbiosis initiates an inflammatory cascade involving TLRs, resulting in the production of pro-inflammatory cytokines and the recruitment of CCR5⁺ CD4⁺ T cells. This predisposes the individual to infections such as HIV. The chronic inflammatory response damages the mucosal immune system</w:t>
      </w:r>
      <w:r w:rsidR="005971E6" w:rsidRPr="00375C89">
        <w:rPr>
          <w:rFonts w:ascii="Times New Roman" w:hAnsi="Times New Roman" w:cs="Times New Roman"/>
          <w:sz w:val="24"/>
          <w:szCs w:val="24"/>
        </w:rPr>
        <w:t xml:space="preserve"> </w:t>
      </w:r>
      <w:r w:rsidR="005971E6" w:rsidRPr="00375C89">
        <w:rPr>
          <w:rFonts w:ascii="Times New Roman" w:hAnsi="Times New Roman" w:cs="Times New Roman"/>
          <w:bCs/>
          <w:sz w:val="24"/>
          <w:szCs w:val="24"/>
        </w:rPr>
        <w:t>(</w:t>
      </w:r>
      <w:r w:rsidR="005971E6" w:rsidRPr="00375C89">
        <w:rPr>
          <w:rFonts w:ascii="Times New Roman" w:hAnsi="Times New Roman" w:cs="Times New Roman"/>
          <w:sz w:val="24"/>
          <w:szCs w:val="24"/>
        </w:rPr>
        <w:t>Zozaya et al. 2016)</w:t>
      </w:r>
      <w:r w:rsidR="008038F1" w:rsidRPr="00375C89">
        <w:rPr>
          <w:rFonts w:ascii="Times New Roman" w:hAnsi="Times New Roman" w:cs="Times New Roman"/>
          <w:sz w:val="24"/>
          <w:szCs w:val="24"/>
        </w:rPr>
        <w:t>.</w:t>
      </w:r>
    </w:p>
    <w:p w14:paraId="472954C1" w14:textId="041FD4D4" w:rsidR="00A7538F" w:rsidRPr="00283A6C" w:rsidRDefault="00F86B03" w:rsidP="00A7538F">
      <w:pPr>
        <w:pStyle w:val="ListParagraph"/>
        <w:numPr>
          <w:ilvl w:val="0"/>
          <w:numId w:val="16"/>
        </w:numPr>
        <w:spacing w:after="0" w:line="360" w:lineRule="auto"/>
        <w:ind w:left="142" w:hanging="213"/>
        <w:jc w:val="both"/>
        <w:rPr>
          <w:rFonts w:ascii="Times New Roman" w:hAnsi="Times New Roman" w:cs="Times New Roman"/>
          <w:i/>
          <w:iCs/>
          <w:sz w:val="24"/>
          <w:szCs w:val="24"/>
        </w:rPr>
      </w:pPr>
      <w:r w:rsidRPr="00375C89">
        <w:rPr>
          <w:rFonts w:ascii="Times New Roman" w:hAnsi="Times New Roman" w:cs="Times New Roman"/>
          <w:i/>
          <w:iCs/>
          <w:sz w:val="24"/>
          <w:szCs w:val="24"/>
        </w:rPr>
        <w:t>Sexual Transmission and Partner-Centred Dynamics</w:t>
      </w:r>
      <w:r w:rsidR="00DB712B" w:rsidRPr="00375C89">
        <w:rPr>
          <w:rFonts w:ascii="Times New Roman" w:hAnsi="Times New Roman" w:cs="Times New Roman"/>
          <w:i/>
          <w:iCs/>
          <w:sz w:val="24"/>
          <w:szCs w:val="24"/>
        </w:rPr>
        <w:t xml:space="preserve">: </w:t>
      </w:r>
      <w:r w:rsidRPr="00375C89">
        <w:rPr>
          <w:rFonts w:ascii="Times New Roman" w:hAnsi="Times New Roman" w:cs="Times New Roman"/>
          <w:sz w:val="24"/>
          <w:szCs w:val="24"/>
        </w:rPr>
        <w:t xml:space="preserve">Accumulating evidence supports bacterial vaginosis as a sexually transmissible dysbiotic condition. </w:t>
      </w:r>
      <w:r w:rsidR="008038F1" w:rsidRPr="00375C89">
        <w:rPr>
          <w:rFonts w:ascii="Times New Roman" w:hAnsi="Times New Roman" w:cs="Times New Roman"/>
          <w:sz w:val="24"/>
          <w:szCs w:val="24"/>
        </w:rPr>
        <w:t xml:space="preserve">Bacterial vaginosis can be viewed as a dysbiosis condition that involves the transmission of microbes through sexual intercourse. In this regard, the male genitourinary microbiome, which includes anaerobes found on the foreskin, urethra, and semen, plays a vital role in the transmission of bacteria. It has been established that partner therapy significantly lowers the recurrence rate of the infection </w:t>
      </w:r>
      <w:r w:rsidRPr="00375C89">
        <w:rPr>
          <w:rFonts w:ascii="Times New Roman" w:hAnsi="Times New Roman" w:cs="Times New Roman"/>
          <w:sz w:val="24"/>
          <w:szCs w:val="24"/>
        </w:rPr>
        <w:t>(Zozaya et al. 2016)</w:t>
      </w:r>
      <w:r w:rsidR="00F14DB6" w:rsidRPr="00375C89">
        <w:rPr>
          <w:rFonts w:ascii="Times New Roman" w:hAnsi="Times New Roman" w:cs="Times New Roman"/>
          <w:sz w:val="24"/>
          <w:szCs w:val="24"/>
        </w:rPr>
        <w:t xml:space="preserve"> (</w:t>
      </w:r>
      <w:r w:rsidR="00F14DB6" w:rsidRPr="00375C89">
        <w:rPr>
          <w:rFonts w:ascii="Times New Roman" w:hAnsi="Times New Roman" w:cs="Times New Roman"/>
          <w:b/>
          <w:sz w:val="24"/>
          <w:szCs w:val="24"/>
        </w:rPr>
        <w:t>Figure I</w:t>
      </w:r>
      <w:r w:rsidR="00F14DB6" w:rsidRPr="00375C89">
        <w:rPr>
          <w:rFonts w:ascii="Times New Roman" w:hAnsi="Times New Roman" w:cs="Times New Roman"/>
          <w:sz w:val="24"/>
          <w:szCs w:val="24"/>
        </w:rPr>
        <w:t>)</w:t>
      </w:r>
      <w:r w:rsidRPr="00375C89">
        <w:rPr>
          <w:rFonts w:ascii="Times New Roman" w:hAnsi="Times New Roman" w:cs="Times New Roman"/>
          <w:sz w:val="24"/>
          <w:szCs w:val="24"/>
        </w:rPr>
        <w:t>.</w:t>
      </w:r>
    </w:p>
    <w:p w14:paraId="6BA8EBC4" w14:textId="77777777" w:rsidR="00283A6C" w:rsidRPr="00375C89" w:rsidRDefault="00283A6C" w:rsidP="00283A6C">
      <w:pPr>
        <w:pStyle w:val="ListParagraph"/>
        <w:spacing w:after="0" w:line="360" w:lineRule="auto"/>
        <w:ind w:left="142"/>
        <w:jc w:val="both"/>
        <w:rPr>
          <w:rFonts w:ascii="Times New Roman" w:hAnsi="Times New Roman" w:cs="Times New Roman"/>
          <w:i/>
          <w:iCs/>
          <w:sz w:val="24"/>
          <w:szCs w:val="24"/>
        </w:rPr>
      </w:pPr>
    </w:p>
    <w:p w14:paraId="3AA6D27A" w14:textId="676D0242" w:rsidR="00F14DB6" w:rsidRPr="00375C89" w:rsidRDefault="009A3CEA" w:rsidP="00283A6C">
      <w:pPr>
        <w:pStyle w:val="ListParagraph"/>
        <w:spacing w:after="0" w:line="360" w:lineRule="auto"/>
        <w:ind w:left="142"/>
        <w:jc w:val="center"/>
        <w:rPr>
          <w:rFonts w:ascii="Times New Roman" w:hAnsi="Times New Roman" w:cs="Times New Roman"/>
          <w:b/>
          <w:bCs/>
          <w:i/>
          <w:iCs/>
          <w:sz w:val="24"/>
          <w:szCs w:val="24"/>
        </w:rPr>
      </w:pPr>
      <w:r>
        <w:rPr>
          <w:rFonts w:ascii="Times New Roman" w:hAnsi="Times New Roman" w:cs="Times New Roman"/>
          <w:b/>
          <w:bCs/>
          <w:i/>
          <w:iCs/>
          <w:noProof/>
          <w:sz w:val="24"/>
          <w:szCs w:val="24"/>
          <w:lang w:eastAsia="en-IN"/>
        </w:rPr>
        <w:drawing>
          <wp:inline distT="0" distB="0" distL="0" distR="0" wp14:anchorId="5BFC94E3" wp14:editId="0C443C90">
            <wp:extent cx="4310657" cy="2547257"/>
            <wp:effectExtent l="0" t="0" r="0" b="5715"/>
            <wp:docPr id="2080656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56966" name="Picture 2080656966"/>
                    <pic:cNvPicPr/>
                  </pic:nvPicPr>
                  <pic:blipFill rotWithShape="1">
                    <a:blip r:embed="rId10" cstate="print">
                      <a:extLst>
                        <a:ext uri="{28A0092B-C50C-407E-A947-70E740481C1C}">
                          <a14:useLocalDpi xmlns:a14="http://schemas.microsoft.com/office/drawing/2010/main" val="0"/>
                        </a:ext>
                      </a:extLst>
                    </a:blip>
                    <a:srcRect l="2564" t="5129" r="4364" b="12371"/>
                    <a:stretch>
                      <a:fillRect/>
                    </a:stretch>
                  </pic:blipFill>
                  <pic:spPr bwMode="auto">
                    <a:xfrm>
                      <a:off x="0" y="0"/>
                      <a:ext cx="4339083" cy="2564055"/>
                    </a:xfrm>
                    <a:prstGeom prst="rect">
                      <a:avLst/>
                    </a:prstGeom>
                    <a:ln>
                      <a:noFill/>
                    </a:ln>
                    <a:extLst>
                      <a:ext uri="{53640926-AAD7-44D8-BBD7-CCE9431645EC}">
                        <a14:shadowObscured xmlns:a14="http://schemas.microsoft.com/office/drawing/2010/main"/>
                      </a:ext>
                    </a:extLst>
                  </pic:spPr>
                </pic:pic>
              </a:graphicData>
            </a:graphic>
          </wp:inline>
        </w:drawing>
      </w:r>
    </w:p>
    <w:p w14:paraId="0BD1D77B" w14:textId="77777777" w:rsidR="009A3CEA" w:rsidRDefault="009A3CEA" w:rsidP="00F14DB6">
      <w:pPr>
        <w:spacing w:after="0" w:line="360" w:lineRule="auto"/>
        <w:ind w:left="426"/>
        <w:jc w:val="center"/>
        <w:rPr>
          <w:rFonts w:ascii="Times New Roman" w:hAnsi="Times New Roman" w:cs="Times New Roman"/>
          <w:b/>
          <w:bCs/>
          <w:color w:val="000000" w:themeColor="text1"/>
          <w:sz w:val="24"/>
          <w:szCs w:val="24"/>
        </w:rPr>
      </w:pPr>
    </w:p>
    <w:p w14:paraId="15B475E0" w14:textId="7D219158" w:rsidR="00F14DB6" w:rsidRPr="00375C89" w:rsidRDefault="00F14DB6" w:rsidP="00F14DB6">
      <w:pPr>
        <w:spacing w:after="0" w:line="360" w:lineRule="auto"/>
        <w:ind w:left="426"/>
        <w:jc w:val="center"/>
        <w:rPr>
          <w:rFonts w:ascii="Times New Roman" w:hAnsi="Times New Roman" w:cs="Times New Roman"/>
          <w:bCs/>
          <w:sz w:val="24"/>
          <w:szCs w:val="24"/>
        </w:rPr>
      </w:pPr>
      <w:r w:rsidRPr="00375C89">
        <w:rPr>
          <w:rFonts w:ascii="Times New Roman" w:hAnsi="Times New Roman" w:cs="Times New Roman"/>
          <w:b/>
          <w:bCs/>
          <w:color w:val="000000" w:themeColor="text1"/>
          <w:sz w:val="24"/>
          <w:szCs w:val="24"/>
        </w:rPr>
        <w:t>FIGURE I</w:t>
      </w:r>
      <w:r w:rsidRPr="00375C89">
        <w:rPr>
          <w:rFonts w:ascii="Times New Roman" w:hAnsi="Times New Roman" w:cs="Times New Roman"/>
          <w:bCs/>
          <w:color w:val="000000" w:themeColor="text1"/>
          <w:sz w:val="24"/>
          <w:szCs w:val="24"/>
        </w:rPr>
        <w:t xml:space="preserve">. </w:t>
      </w:r>
      <w:r w:rsidRPr="00375C89">
        <w:rPr>
          <w:rFonts w:ascii="Times New Roman" w:hAnsi="Times New Roman" w:cs="Times New Roman"/>
          <w:bCs/>
          <w:sz w:val="24"/>
          <w:szCs w:val="24"/>
        </w:rPr>
        <w:t>DIAGRAMMATIC ILLUSTRATION SHOWING DETAILS OF RECURRENT BACTERIAL VAGINOSIS</w:t>
      </w:r>
    </w:p>
    <w:p w14:paraId="2E241583" w14:textId="77777777" w:rsidR="00F14DB6" w:rsidRPr="00375C89" w:rsidRDefault="00F14DB6" w:rsidP="00DB712B">
      <w:pPr>
        <w:spacing w:after="0" w:line="360" w:lineRule="auto"/>
        <w:jc w:val="center"/>
        <w:rPr>
          <w:rFonts w:ascii="Times New Roman" w:hAnsi="Times New Roman" w:cs="Times New Roman"/>
          <w:sz w:val="24"/>
          <w:szCs w:val="24"/>
        </w:rPr>
      </w:pPr>
    </w:p>
    <w:p w14:paraId="6DA1F0A2" w14:textId="77777777" w:rsidR="003506B9" w:rsidRDefault="003506B9" w:rsidP="00DB712B">
      <w:pPr>
        <w:spacing w:after="0" w:line="360" w:lineRule="auto"/>
        <w:jc w:val="center"/>
        <w:rPr>
          <w:rFonts w:ascii="Times New Roman" w:hAnsi="Times New Roman" w:cs="Times New Roman"/>
          <w:sz w:val="24"/>
          <w:szCs w:val="24"/>
        </w:rPr>
      </w:pPr>
    </w:p>
    <w:p w14:paraId="755D142D" w14:textId="77777777" w:rsidR="006706A4" w:rsidRDefault="006706A4" w:rsidP="00DB712B">
      <w:pPr>
        <w:spacing w:after="0" w:line="360" w:lineRule="auto"/>
        <w:jc w:val="center"/>
        <w:rPr>
          <w:rFonts w:ascii="Times New Roman" w:hAnsi="Times New Roman" w:cs="Times New Roman"/>
          <w:sz w:val="24"/>
          <w:szCs w:val="24"/>
        </w:rPr>
      </w:pPr>
    </w:p>
    <w:p w14:paraId="0EDBF97D" w14:textId="77777777" w:rsidR="006706A4" w:rsidRDefault="006706A4" w:rsidP="00DB712B">
      <w:pPr>
        <w:spacing w:after="0" w:line="360" w:lineRule="auto"/>
        <w:jc w:val="center"/>
        <w:rPr>
          <w:rFonts w:ascii="Times New Roman" w:hAnsi="Times New Roman" w:cs="Times New Roman"/>
          <w:sz w:val="24"/>
          <w:szCs w:val="24"/>
        </w:rPr>
      </w:pPr>
    </w:p>
    <w:p w14:paraId="78995AE1" w14:textId="2B896175" w:rsidR="003506B9" w:rsidRPr="003506B9" w:rsidRDefault="003506B9" w:rsidP="003506B9">
      <w:pPr>
        <w:pStyle w:val="ListParagraph"/>
        <w:numPr>
          <w:ilvl w:val="0"/>
          <w:numId w:val="12"/>
        </w:numPr>
        <w:spacing w:after="0" w:line="360" w:lineRule="auto"/>
        <w:jc w:val="center"/>
        <w:rPr>
          <w:rFonts w:ascii="Times New Roman" w:hAnsi="Times New Roman" w:cs="Times New Roman"/>
          <w:sz w:val="24"/>
          <w:szCs w:val="24"/>
        </w:rPr>
      </w:pPr>
      <w:r w:rsidRPr="003506B9">
        <w:rPr>
          <w:rFonts w:ascii="Times New Roman" w:hAnsi="Times New Roman" w:cs="Times New Roman"/>
          <w:sz w:val="24"/>
          <w:szCs w:val="24"/>
        </w:rPr>
        <w:lastRenderedPageBreak/>
        <w:t>NOVEL AND CONVENTIONAL THERAPIES FOR VAGINAL DYSBIOSIS</w:t>
      </w:r>
    </w:p>
    <w:p w14:paraId="429B8A7B" w14:textId="77777777" w:rsidR="003506B9" w:rsidRPr="00375C89" w:rsidRDefault="003506B9" w:rsidP="00DB712B">
      <w:pPr>
        <w:spacing w:after="0" w:line="360" w:lineRule="auto"/>
        <w:jc w:val="center"/>
        <w:rPr>
          <w:rFonts w:ascii="Times New Roman" w:hAnsi="Times New Roman" w:cs="Times New Roman"/>
          <w:sz w:val="24"/>
          <w:szCs w:val="24"/>
        </w:rPr>
      </w:pPr>
    </w:p>
    <w:p w14:paraId="0E4D58DF" w14:textId="589CD7D8" w:rsidR="003C4A4E" w:rsidRPr="00375C89" w:rsidRDefault="003C4A4E" w:rsidP="00A7538F">
      <w:pPr>
        <w:pStyle w:val="ListParagraph"/>
        <w:numPr>
          <w:ilvl w:val="0"/>
          <w:numId w:val="17"/>
        </w:numPr>
        <w:spacing w:after="0" w:line="360" w:lineRule="auto"/>
        <w:ind w:left="142" w:hanging="153"/>
        <w:jc w:val="both"/>
        <w:rPr>
          <w:rFonts w:ascii="Times New Roman" w:hAnsi="Times New Roman" w:cs="Times New Roman"/>
          <w:i/>
          <w:iCs/>
          <w:sz w:val="24"/>
          <w:szCs w:val="24"/>
        </w:rPr>
      </w:pPr>
      <w:r w:rsidRPr="00375C89">
        <w:rPr>
          <w:rFonts w:ascii="Times New Roman" w:hAnsi="Times New Roman" w:cs="Times New Roman"/>
          <w:i/>
          <w:iCs/>
          <w:sz w:val="24"/>
          <w:szCs w:val="24"/>
        </w:rPr>
        <w:t>Conventional Therapies for Vaginal Dysbiosis</w:t>
      </w:r>
      <w:r w:rsidR="00DB712B" w:rsidRPr="00375C89">
        <w:rPr>
          <w:rFonts w:ascii="Times New Roman" w:hAnsi="Times New Roman" w:cs="Times New Roman"/>
          <w:i/>
          <w:iCs/>
          <w:sz w:val="24"/>
          <w:szCs w:val="24"/>
        </w:rPr>
        <w:t xml:space="preserve">: </w:t>
      </w:r>
      <w:r w:rsidRPr="00375C89">
        <w:rPr>
          <w:rFonts w:ascii="Times New Roman" w:hAnsi="Times New Roman" w:cs="Times New Roman"/>
          <w:bCs/>
          <w:sz w:val="24"/>
          <w:szCs w:val="24"/>
        </w:rPr>
        <w:t xml:space="preserve">Antimicrobial resistance </w:t>
      </w:r>
      <w:r w:rsidR="00DB712B" w:rsidRPr="00375C89">
        <w:rPr>
          <w:rFonts w:ascii="Times New Roman" w:hAnsi="Times New Roman" w:cs="Times New Roman"/>
          <w:bCs/>
          <w:sz w:val="24"/>
          <w:szCs w:val="24"/>
        </w:rPr>
        <w:t>contributes</w:t>
      </w:r>
      <w:r w:rsidRPr="00375C89">
        <w:rPr>
          <w:rFonts w:ascii="Times New Roman" w:hAnsi="Times New Roman" w:cs="Times New Roman"/>
          <w:bCs/>
          <w:sz w:val="24"/>
          <w:szCs w:val="24"/>
        </w:rPr>
        <w:t xml:space="preserve"> only partially to treatment failure in bacterial vaginosis (BV), with metronidazole resistance remaining low (&lt;0.3%), although clindamycin resistance is comparatively higher (~17%). Emerging evidence suggests clade-specific resistance among </w:t>
      </w:r>
      <w:r w:rsidRPr="00375C89">
        <w:rPr>
          <w:rFonts w:ascii="Times New Roman" w:hAnsi="Times New Roman" w:cs="Times New Roman"/>
          <w:bCs/>
          <w:i/>
          <w:iCs/>
          <w:sz w:val="24"/>
          <w:szCs w:val="24"/>
        </w:rPr>
        <w:t>Gardnerella</w:t>
      </w:r>
      <w:r w:rsidRPr="00375C89">
        <w:rPr>
          <w:rFonts w:ascii="Times New Roman" w:hAnsi="Times New Roman" w:cs="Times New Roman"/>
          <w:bCs/>
          <w:sz w:val="24"/>
          <w:szCs w:val="24"/>
        </w:rPr>
        <w:t xml:space="preserve"> species, indicating strain-level variability in therapeutic response. Antibiotic therapy also disrupts microbial succession, with post-treatment recolonization often dominated by </w:t>
      </w:r>
      <w:r w:rsidRPr="00375C89">
        <w:rPr>
          <w:rFonts w:ascii="Times New Roman" w:hAnsi="Times New Roman" w:cs="Times New Roman"/>
          <w:bCs/>
          <w:i/>
          <w:iCs/>
          <w:sz w:val="24"/>
          <w:szCs w:val="24"/>
        </w:rPr>
        <w:t>Lactobacillus iners</w:t>
      </w:r>
      <w:r w:rsidRPr="00375C89">
        <w:rPr>
          <w:rFonts w:ascii="Times New Roman" w:hAnsi="Times New Roman" w:cs="Times New Roman"/>
          <w:bCs/>
          <w:sz w:val="24"/>
          <w:szCs w:val="24"/>
        </w:rPr>
        <w:t xml:space="preserve"> rather than more protective species such as </w:t>
      </w:r>
      <w:r w:rsidRPr="00375C89">
        <w:rPr>
          <w:rFonts w:ascii="Times New Roman" w:hAnsi="Times New Roman" w:cs="Times New Roman"/>
          <w:bCs/>
          <w:i/>
          <w:iCs/>
          <w:sz w:val="24"/>
          <w:szCs w:val="24"/>
        </w:rPr>
        <w:t>Lactobacillus crispatus</w:t>
      </w:r>
      <w:r w:rsidRPr="00375C89">
        <w:rPr>
          <w:rFonts w:ascii="Times New Roman" w:hAnsi="Times New Roman" w:cs="Times New Roman"/>
          <w:bCs/>
          <w:sz w:val="24"/>
          <w:szCs w:val="24"/>
        </w:rPr>
        <w:t xml:space="preserve">, predisposing to recurrent dysbiosis. In vulvovaginal candidiasis, increasing azole resistance, particularly in </w:t>
      </w:r>
      <w:r w:rsidRPr="00375C89">
        <w:rPr>
          <w:rFonts w:ascii="Times New Roman" w:hAnsi="Times New Roman" w:cs="Times New Roman"/>
          <w:bCs/>
          <w:i/>
          <w:iCs/>
          <w:sz w:val="24"/>
          <w:szCs w:val="24"/>
        </w:rPr>
        <w:t>Candida glabrata</w:t>
      </w:r>
      <w:r w:rsidRPr="00375C89">
        <w:rPr>
          <w:rFonts w:ascii="Times New Roman" w:hAnsi="Times New Roman" w:cs="Times New Roman"/>
          <w:bCs/>
          <w:sz w:val="24"/>
          <w:szCs w:val="24"/>
        </w:rPr>
        <w:t>, is mediated through target enzyme mutations, efflux pumps, and stress-response pathways, contributing to multidrug resistance (Bradshaw et al. 2015).</w:t>
      </w:r>
    </w:p>
    <w:p w14:paraId="4DF882C0" w14:textId="3C98E0F3" w:rsidR="003C4A4E" w:rsidRPr="00375C89" w:rsidRDefault="003C4A4E" w:rsidP="00A7538F">
      <w:pPr>
        <w:pStyle w:val="ListParagraph"/>
        <w:numPr>
          <w:ilvl w:val="0"/>
          <w:numId w:val="17"/>
        </w:numPr>
        <w:spacing w:after="0" w:line="360" w:lineRule="auto"/>
        <w:ind w:left="142" w:hanging="153"/>
        <w:jc w:val="both"/>
        <w:rPr>
          <w:rFonts w:ascii="Times New Roman" w:hAnsi="Times New Roman" w:cs="Times New Roman"/>
          <w:i/>
          <w:iCs/>
          <w:sz w:val="24"/>
          <w:szCs w:val="24"/>
        </w:rPr>
      </w:pPr>
      <w:r w:rsidRPr="00375C89">
        <w:rPr>
          <w:rFonts w:ascii="Times New Roman" w:hAnsi="Times New Roman" w:cs="Times New Roman"/>
          <w:i/>
          <w:iCs/>
          <w:sz w:val="24"/>
          <w:szCs w:val="24"/>
        </w:rPr>
        <w:t>Live Biotherapeutic Strategies</w:t>
      </w:r>
      <w:r w:rsidR="00DB712B" w:rsidRPr="00375C89">
        <w:rPr>
          <w:rFonts w:ascii="Times New Roman" w:hAnsi="Times New Roman" w:cs="Times New Roman"/>
          <w:i/>
          <w:iCs/>
          <w:sz w:val="24"/>
          <w:szCs w:val="24"/>
        </w:rPr>
        <w:t xml:space="preserve">: </w:t>
      </w:r>
      <w:r w:rsidRPr="00375C89">
        <w:rPr>
          <w:rFonts w:ascii="Times New Roman" w:hAnsi="Times New Roman" w:cs="Times New Roman"/>
          <w:bCs/>
          <w:sz w:val="24"/>
          <w:szCs w:val="24"/>
        </w:rPr>
        <w:t xml:space="preserve">Probiotic efficacy is highly strain-specific, limiting the effectiveness of non-targeted therapies. </w:t>
      </w:r>
      <w:r w:rsidRPr="00375C89">
        <w:rPr>
          <w:rFonts w:ascii="Times New Roman" w:hAnsi="Times New Roman" w:cs="Times New Roman"/>
          <w:bCs/>
          <w:i/>
          <w:iCs/>
          <w:sz w:val="24"/>
          <w:szCs w:val="24"/>
        </w:rPr>
        <w:t>Lactobacillus crispatus</w:t>
      </w:r>
      <w:r w:rsidRPr="00375C89">
        <w:rPr>
          <w:rFonts w:ascii="Times New Roman" w:hAnsi="Times New Roman" w:cs="Times New Roman"/>
          <w:bCs/>
          <w:sz w:val="24"/>
          <w:szCs w:val="24"/>
        </w:rPr>
        <w:t xml:space="preserve"> (LACTIN-V) has demonstrated reduced BV recurrence in clinical trials; however, sustained remission remains challenging due to persistent biofilms and ecological instability. Vaginal microbiota transplantation (VMT) represents a promising ecosystem-based approach capable of restoring Lactobacillus-dominant communities and reducing inflammation. Similarly, synthetic bacterial consortia are emerging as scalable alternatives for microbiome restoration (Van et al. 2020).</w:t>
      </w:r>
    </w:p>
    <w:p w14:paraId="52EBFEEF" w14:textId="112905A9" w:rsidR="003C4A4E" w:rsidRPr="00375C89" w:rsidRDefault="003C4A4E" w:rsidP="00A7538F">
      <w:pPr>
        <w:pStyle w:val="ListParagraph"/>
        <w:numPr>
          <w:ilvl w:val="0"/>
          <w:numId w:val="17"/>
        </w:numPr>
        <w:spacing w:after="0" w:line="360" w:lineRule="auto"/>
        <w:ind w:left="142" w:hanging="153"/>
        <w:jc w:val="both"/>
        <w:rPr>
          <w:rFonts w:ascii="Times New Roman" w:hAnsi="Times New Roman" w:cs="Times New Roman"/>
          <w:i/>
          <w:iCs/>
          <w:sz w:val="24"/>
          <w:szCs w:val="24"/>
        </w:rPr>
      </w:pPr>
      <w:r w:rsidRPr="00375C89">
        <w:rPr>
          <w:rFonts w:ascii="Times New Roman" w:hAnsi="Times New Roman" w:cs="Times New Roman"/>
          <w:i/>
          <w:iCs/>
          <w:sz w:val="24"/>
          <w:szCs w:val="24"/>
        </w:rPr>
        <w:t>Novel and Emerging Approaches</w:t>
      </w:r>
      <w:r w:rsidR="00DB712B" w:rsidRPr="00375C89">
        <w:rPr>
          <w:rFonts w:ascii="Times New Roman" w:hAnsi="Times New Roman" w:cs="Times New Roman"/>
          <w:i/>
          <w:iCs/>
          <w:sz w:val="24"/>
          <w:szCs w:val="24"/>
        </w:rPr>
        <w:t xml:space="preserve">: </w:t>
      </w:r>
      <w:r w:rsidRPr="00375C89">
        <w:rPr>
          <w:rFonts w:ascii="Times New Roman" w:hAnsi="Times New Roman" w:cs="Times New Roman"/>
          <w:bCs/>
          <w:sz w:val="24"/>
          <w:szCs w:val="24"/>
        </w:rPr>
        <w:t>Prebiotics and synbiotics require cautious application in vaginal health due to the “SCFA paradox,” where short-chain fatty acids exhibit anti-inflammatory effects in the gut but pro-inflammatory effects in the vagina. This highlights the limitations of directly translating gut-derived microbiome therapies to vaginal ecosystems (Amabebe et al. 2020)</w:t>
      </w:r>
      <w:r w:rsidR="006E5453" w:rsidRPr="00375C89">
        <w:rPr>
          <w:rFonts w:ascii="Times New Roman" w:hAnsi="Times New Roman" w:cs="Times New Roman"/>
          <w:bCs/>
          <w:sz w:val="24"/>
          <w:szCs w:val="24"/>
        </w:rPr>
        <w:t xml:space="preserve"> (Figure II)</w:t>
      </w:r>
      <w:r w:rsidRPr="00375C89">
        <w:rPr>
          <w:rFonts w:ascii="Times New Roman" w:hAnsi="Times New Roman" w:cs="Times New Roman"/>
          <w:bCs/>
          <w:sz w:val="24"/>
          <w:szCs w:val="24"/>
        </w:rPr>
        <w:t>.</w:t>
      </w:r>
    </w:p>
    <w:p w14:paraId="0F5BBEDA" w14:textId="0FEEC980" w:rsidR="003C4A4E" w:rsidRPr="009723C5" w:rsidRDefault="003C4A4E" w:rsidP="00A7538F">
      <w:pPr>
        <w:pStyle w:val="ListParagraph"/>
        <w:numPr>
          <w:ilvl w:val="0"/>
          <w:numId w:val="17"/>
        </w:numPr>
        <w:spacing w:after="0" w:line="360" w:lineRule="auto"/>
        <w:ind w:left="142" w:hanging="153"/>
        <w:jc w:val="both"/>
        <w:rPr>
          <w:rFonts w:ascii="Times New Roman" w:hAnsi="Times New Roman" w:cs="Times New Roman"/>
          <w:i/>
          <w:iCs/>
          <w:sz w:val="24"/>
          <w:szCs w:val="24"/>
        </w:rPr>
      </w:pPr>
      <w:r w:rsidRPr="00375C89">
        <w:rPr>
          <w:rFonts w:ascii="Times New Roman" w:hAnsi="Times New Roman" w:cs="Times New Roman"/>
          <w:i/>
          <w:iCs/>
          <w:sz w:val="24"/>
          <w:szCs w:val="24"/>
        </w:rPr>
        <w:t>Lifestyle and Hygiene Interventions</w:t>
      </w:r>
      <w:r w:rsidR="00DB712B" w:rsidRPr="00375C89">
        <w:rPr>
          <w:rFonts w:ascii="Times New Roman" w:hAnsi="Times New Roman" w:cs="Times New Roman"/>
          <w:i/>
          <w:iCs/>
          <w:sz w:val="24"/>
          <w:szCs w:val="24"/>
        </w:rPr>
        <w:t xml:space="preserve">: </w:t>
      </w:r>
      <w:r w:rsidRPr="00375C89">
        <w:rPr>
          <w:rFonts w:ascii="Times New Roman" w:hAnsi="Times New Roman" w:cs="Times New Roman"/>
          <w:bCs/>
          <w:sz w:val="24"/>
          <w:szCs w:val="24"/>
        </w:rPr>
        <w:t>Lifestyle and hygiene practices significantly influence vaginal microbial stability. Douching and use of fragranced vaginal products disrupt protective microbiota and increase BV risk, whereas water-based hygiene practices are considered safer. Behavioural strategies including condom use, partner treatment, and limiting new sexual partners remain effective non-pharmacological interventions for reducing recurrence and maintaining vaginal health (Bradshaw et al. 2016).</w:t>
      </w:r>
    </w:p>
    <w:p w14:paraId="642EB4A8" w14:textId="77777777" w:rsidR="009723C5" w:rsidRDefault="009723C5" w:rsidP="009723C5">
      <w:pPr>
        <w:spacing w:after="0" w:line="360" w:lineRule="auto"/>
        <w:jc w:val="both"/>
        <w:rPr>
          <w:rFonts w:ascii="Times New Roman" w:hAnsi="Times New Roman" w:cs="Times New Roman"/>
          <w:i/>
          <w:iCs/>
          <w:sz w:val="24"/>
          <w:szCs w:val="24"/>
        </w:rPr>
      </w:pPr>
    </w:p>
    <w:p w14:paraId="7A9260E8" w14:textId="77777777" w:rsidR="009723C5" w:rsidRDefault="009723C5" w:rsidP="009723C5">
      <w:pPr>
        <w:spacing w:after="0" w:line="360" w:lineRule="auto"/>
        <w:jc w:val="both"/>
        <w:rPr>
          <w:rFonts w:ascii="Times New Roman" w:hAnsi="Times New Roman" w:cs="Times New Roman"/>
          <w:i/>
          <w:iCs/>
          <w:sz w:val="24"/>
          <w:szCs w:val="24"/>
        </w:rPr>
      </w:pPr>
    </w:p>
    <w:p w14:paraId="5C9C99EB" w14:textId="77777777" w:rsidR="009723C5" w:rsidRDefault="009723C5" w:rsidP="009723C5">
      <w:pPr>
        <w:spacing w:after="0" w:line="360" w:lineRule="auto"/>
        <w:jc w:val="both"/>
        <w:rPr>
          <w:rFonts w:ascii="Times New Roman" w:hAnsi="Times New Roman" w:cs="Times New Roman"/>
          <w:i/>
          <w:iCs/>
          <w:sz w:val="24"/>
          <w:szCs w:val="24"/>
        </w:rPr>
      </w:pPr>
    </w:p>
    <w:p w14:paraId="7EC9ACF3" w14:textId="77777777" w:rsidR="009723C5" w:rsidRDefault="009723C5" w:rsidP="009723C5">
      <w:pPr>
        <w:spacing w:after="0" w:line="360" w:lineRule="auto"/>
        <w:jc w:val="both"/>
        <w:rPr>
          <w:rFonts w:ascii="Times New Roman" w:hAnsi="Times New Roman" w:cs="Times New Roman"/>
          <w:i/>
          <w:iCs/>
          <w:sz w:val="24"/>
          <w:szCs w:val="24"/>
        </w:rPr>
      </w:pPr>
    </w:p>
    <w:p w14:paraId="19FCEBA7" w14:textId="5155FA77" w:rsidR="009723C5" w:rsidRPr="009723C5" w:rsidRDefault="009723C5" w:rsidP="009723C5">
      <w:pPr>
        <w:spacing w:after="0" w:line="360" w:lineRule="auto"/>
        <w:jc w:val="center"/>
        <w:rPr>
          <w:rFonts w:ascii="Times New Roman" w:hAnsi="Times New Roman" w:cs="Times New Roman"/>
          <w:iCs/>
          <w:sz w:val="24"/>
          <w:szCs w:val="24"/>
        </w:rPr>
      </w:pPr>
      <w:r>
        <w:rPr>
          <w:rFonts w:ascii="Times New Roman" w:hAnsi="Times New Roman" w:cs="Times New Roman"/>
          <w:noProof/>
          <w:sz w:val="24"/>
          <w:szCs w:val="24"/>
          <w:lang w:eastAsia="en-IN"/>
        </w:rPr>
        <w:drawing>
          <wp:inline distT="0" distB="0" distL="0" distR="0" wp14:anchorId="6A768602" wp14:editId="5FFFE20D">
            <wp:extent cx="5009321" cy="3275938"/>
            <wp:effectExtent l="0" t="0" r="1270" b="127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78915" name="Picture 1171178915"/>
                    <pic:cNvPicPr/>
                  </pic:nvPicPr>
                  <pic:blipFill rotWithShape="1">
                    <a:blip r:embed="rId11" cstate="print">
                      <a:extLst>
                        <a:ext uri="{28A0092B-C50C-407E-A947-70E740481C1C}">
                          <a14:useLocalDpi xmlns:a14="http://schemas.microsoft.com/office/drawing/2010/main" val="0"/>
                        </a:ext>
                      </a:extLst>
                    </a:blip>
                    <a:srcRect l="5794" t="1710" r="7980" b="6970"/>
                    <a:stretch>
                      <a:fillRect/>
                    </a:stretch>
                  </pic:blipFill>
                  <pic:spPr bwMode="auto">
                    <a:xfrm>
                      <a:off x="0" y="0"/>
                      <a:ext cx="5027261" cy="3287670"/>
                    </a:xfrm>
                    <a:prstGeom prst="rect">
                      <a:avLst/>
                    </a:prstGeom>
                    <a:ln>
                      <a:noFill/>
                    </a:ln>
                    <a:extLst>
                      <a:ext uri="{53640926-AAD7-44D8-BBD7-CCE9431645EC}">
                        <a14:shadowObscured xmlns:a14="http://schemas.microsoft.com/office/drawing/2010/main"/>
                      </a:ext>
                    </a:extLst>
                  </pic:spPr>
                </pic:pic>
              </a:graphicData>
            </a:graphic>
          </wp:inline>
        </w:drawing>
      </w:r>
    </w:p>
    <w:p w14:paraId="0B2071FF" w14:textId="3DD7D886" w:rsidR="009723C5" w:rsidRPr="009723C5" w:rsidRDefault="009723C5" w:rsidP="009723C5">
      <w:pPr>
        <w:spacing w:after="0" w:line="360" w:lineRule="auto"/>
        <w:rPr>
          <w:rFonts w:ascii="Times New Roman" w:hAnsi="Times New Roman" w:cs="Times New Roman"/>
          <w:iCs/>
          <w:sz w:val="24"/>
          <w:szCs w:val="24"/>
        </w:rPr>
      </w:pPr>
    </w:p>
    <w:p w14:paraId="76C20293" w14:textId="1C9A4F12" w:rsidR="009723C5" w:rsidRDefault="009723C5" w:rsidP="009723C5">
      <w:pPr>
        <w:spacing w:after="0" w:line="360" w:lineRule="auto"/>
        <w:jc w:val="both"/>
        <w:rPr>
          <w:rFonts w:ascii="Times New Roman" w:hAnsi="Times New Roman" w:cs="Times New Roman"/>
          <w:i/>
          <w:iCs/>
          <w:sz w:val="24"/>
          <w:szCs w:val="24"/>
        </w:rPr>
      </w:pPr>
      <w:r w:rsidRPr="00375C89">
        <w:rPr>
          <w:rFonts w:ascii="Times New Roman" w:hAnsi="Times New Roman" w:cs="Times New Roman"/>
          <w:bCs/>
          <w:noProof/>
          <w:sz w:val="24"/>
          <w:szCs w:val="24"/>
          <w:lang w:eastAsia="en-IN"/>
        </w:rPr>
        <mc:AlternateContent>
          <mc:Choice Requires="wps">
            <w:drawing>
              <wp:anchor distT="0" distB="0" distL="114300" distR="114300" simplePos="0" relativeHeight="251660288" behindDoc="0" locked="0" layoutInCell="1" allowOverlap="1" wp14:anchorId="49AAFF93" wp14:editId="29F4BC6B">
                <wp:simplePos x="0" y="0"/>
                <wp:positionH relativeFrom="column">
                  <wp:posOffset>214685</wp:posOffset>
                </wp:positionH>
                <wp:positionV relativeFrom="paragraph">
                  <wp:posOffset>-1325</wp:posOffset>
                </wp:positionV>
                <wp:extent cx="5200153" cy="51117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153" cy="511175"/>
                        </a:xfrm>
                        <a:prstGeom prst="rect">
                          <a:avLst/>
                        </a:prstGeom>
                        <a:noFill/>
                        <a:ln w="9525">
                          <a:noFill/>
                          <a:miter lim="800000"/>
                          <a:headEnd/>
                          <a:tailEnd/>
                        </a:ln>
                      </wps:spPr>
                      <wps:txbx>
                        <w:txbxContent>
                          <w:p w14:paraId="7DDD9D26" w14:textId="77777777" w:rsidR="009723C5" w:rsidRDefault="009723C5" w:rsidP="009723C5">
                            <w:pPr>
                              <w:pStyle w:val="NormalWeb"/>
                              <w:jc w:val="center"/>
                            </w:pPr>
                            <w:r w:rsidRPr="00BE6667">
                              <w:t xml:space="preserve">FIGURE </w:t>
                            </w:r>
                            <w:r>
                              <w:t>I</w:t>
                            </w:r>
                            <w:r w:rsidRPr="00BE6667">
                              <w:t>I. DIFFERENTIAL IMPACT OF SCFA ON GUT AND VAGINAL MUCOSAL IMMUNITY MICROBIOTA</w:t>
                            </w:r>
                          </w:p>
                          <w:p w14:paraId="39E2A91A" w14:textId="77777777" w:rsidR="009723C5" w:rsidRPr="003A6C0A" w:rsidRDefault="009723C5" w:rsidP="009723C5">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AFF93" id="_x0000_t202" coordsize="21600,21600" o:spt="202" path="m,l,21600r21600,l21600,xe">
                <v:stroke joinstyle="miter"/>
                <v:path gradientshapeok="t" o:connecttype="rect"/>
              </v:shapetype>
              <v:shape id="Text Box 2" o:spid="_x0000_s1026" type="#_x0000_t202" style="position:absolute;left:0;text-align:left;margin-left:16.9pt;margin-top:-.1pt;width:409.45pt;height: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m+AEAAM0DAAAOAAAAZHJzL2Uyb0RvYy54bWysU8tu2zAQvBfoPxC817Jcq0kEy0GaNEWB&#10;9AGk/YA1RVlESS5L0pbcr8+SchyjvRXVgeBqydmd2eHqejSa7aUPCm3Dy9mcM2kFtspuG/7j+/2b&#10;S85CBNuCRisbfpCBX69fv1oNrpYL7FG30jMCsaEeXMP7GF1dFEH00kCYoZOWkh16A5FCvy1aDwOh&#10;G10s5vN3xYC+dR6FDIH+3k1Jvs74XSdF/Np1QUamG069xbz6vG7SWqxXUG89uF6JYxvwD10YUJaK&#10;nqDuIALbefUXlFHCY8AuzgSaArtOCZk5EJty/gebxx6czFxInOBOMoX/Byu+7B/dN8/i+B5HGmAm&#10;EdwDip+BWbztwW7ljfc49BJaKlwmyYrBhfp4NUkd6pBANsNnbGnIsIuYgcbOm6QK8WSETgM4nESX&#10;Y2SCflY0xrJ6y5mgXFWW5UWVS0D9fNv5ED9KNCxtGu5pqBkd9g8hpm6gfj6Silm8V1rnwWrLhoZf&#10;VYsqXzjLGBXJd1qZhl/O0zc5IZH8YNt8OYLS054KaHtknYhOlOO4GelgYr/B9kD8PU7+ovdAmx79&#10;b84G8lbDw68deMmZ/mRJw6tyuUxmzMGyulhQ4M8zm/MMWEFQDY+cTdvbmA08cb0hrTuVZXjp5Ngr&#10;eSarc/R3MuV5nE+9vML1EwAAAP//AwBQSwMEFAAGAAgAAAAhAK9xNITbAAAABwEAAA8AAABkcnMv&#10;ZG93bnJldi54bWxMzk1PwzAMBuA7Ev8hMhK3LaFlMErTCYG4ghgfEjev8dqKxqmabC3/HnOCm63X&#10;ev2Um9n36khj7AJbuFgaUMR1cB03Ft5eHxdrUDEhO+wDk4VvirCpTk9KLFyY+IWO29QoKeFYoIU2&#10;paHQOtYteYzLMBBLtg+jxyTr2Gg34iTlvteZMVfaY8fyocWB7luqv7YHb+H9af/5cWmemwe/GqYw&#10;G83+Rlt7fjbf3YJKNKe/Y/jlCx0qMe3CgV1UvYU8F3mysMhASbxeZdegdjKYHHRV6v/+6gcAAP//&#10;AwBQSwECLQAUAAYACAAAACEAtoM4kv4AAADhAQAAEwAAAAAAAAAAAAAAAAAAAAAAW0NvbnRlbnRf&#10;VHlwZXNdLnhtbFBLAQItABQABgAIAAAAIQA4/SH/1gAAAJQBAAALAAAAAAAAAAAAAAAAAC8BAABf&#10;cmVscy8ucmVsc1BLAQItABQABgAIAAAAIQAjD+hm+AEAAM0DAAAOAAAAAAAAAAAAAAAAAC4CAABk&#10;cnMvZTJvRG9jLnhtbFBLAQItABQABgAIAAAAIQCvcTSE2wAAAAcBAAAPAAAAAAAAAAAAAAAAAFIE&#10;AABkcnMvZG93bnJldi54bWxQSwUGAAAAAAQABADzAAAAWgUAAAAA&#10;" filled="f" stroked="f">
                <v:textbox>
                  <w:txbxContent>
                    <w:p w14:paraId="7DDD9D26" w14:textId="77777777" w:rsidR="009723C5" w:rsidRDefault="009723C5" w:rsidP="009723C5">
                      <w:pPr>
                        <w:pStyle w:val="NormalWeb"/>
                        <w:jc w:val="center"/>
                      </w:pPr>
                      <w:r w:rsidRPr="00BE6667">
                        <w:t xml:space="preserve">FIGURE </w:t>
                      </w:r>
                      <w:r>
                        <w:t>I</w:t>
                      </w:r>
                      <w:r w:rsidRPr="00BE6667">
                        <w:t>I. DIFFERENTIAL IMPACT OF SCFA ON GUT AND VAGINAL MUCOSAL IMMUNITY MICROBIOTA</w:t>
                      </w:r>
                    </w:p>
                    <w:p w14:paraId="39E2A91A" w14:textId="77777777" w:rsidR="009723C5" w:rsidRPr="003A6C0A" w:rsidRDefault="009723C5" w:rsidP="009723C5">
                      <w:pPr>
                        <w:rPr>
                          <w:rFonts w:ascii="Times New Roman" w:hAnsi="Times New Roman" w:cs="Times New Roman"/>
                        </w:rPr>
                      </w:pPr>
                    </w:p>
                  </w:txbxContent>
                </v:textbox>
              </v:shape>
            </w:pict>
          </mc:Fallback>
        </mc:AlternateContent>
      </w:r>
    </w:p>
    <w:p w14:paraId="0DC66BF2" w14:textId="2AC62516" w:rsidR="00724CA4" w:rsidRPr="00375C89" w:rsidRDefault="00724CA4" w:rsidP="00DB712B">
      <w:pPr>
        <w:spacing w:after="0" w:line="360" w:lineRule="auto"/>
        <w:ind w:left="851"/>
        <w:rPr>
          <w:rFonts w:ascii="Times New Roman" w:hAnsi="Times New Roman" w:cs="Times New Roman"/>
          <w:sz w:val="24"/>
          <w:szCs w:val="24"/>
        </w:rPr>
      </w:pPr>
    </w:p>
    <w:p w14:paraId="49354398" w14:textId="3E1908AC" w:rsidR="00663A4F" w:rsidRPr="00375C89" w:rsidRDefault="00DB712B" w:rsidP="00BE6667">
      <w:pPr>
        <w:pStyle w:val="ListParagraph"/>
        <w:numPr>
          <w:ilvl w:val="0"/>
          <w:numId w:val="18"/>
        </w:numPr>
        <w:spacing w:after="0" w:line="360" w:lineRule="auto"/>
        <w:ind w:left="567" w:hanging="513"/>
        <w:rPr>
          <w:rFonts w:ascii="Times New Roman" w:hAnsi="Times New Roman" w:cs="Times New Roman"/>
          <w:sz w:val="24"/>
          <w:szCs w:val="24"/>
        </w:rPr>
      </w:pPr>
      <w:r w:rsidRPr="00375C89">
        <w:rPr>
          <w:rFonts w:ascii="Times New Roman" w:hAnsi="Times New Roman" w:cs="Times New Roman"/>
          <w:sz w:val="24"/>
          <w:szCs w:val="24"/>
        </w:rPr>
        <w:t>MECHANISTIC ROLE OF ANIMAL MODELS IN MICROBIOME RESEARCH</w:t>
      </w:r>
    </w:p>
    <w:p w14:paraId="4309FA15" w14:textId="482270C4" w:rsidR="0012340E" w:rsidRPr="00375C89" w:rsidRDefault="0012340E" w:rsidP="00663A4F">
      <w:pPr>
        <w:pStyle w:val="ListParagraph"/>
        <w:spacing w:after="0" w:line="360" w:lineRule="auto"/>
        <w:ind w:left="0"/>
        <w:jc w:val="both"/>
        <w:rPr>
          <w:rFonts w:ascii="Times New Roman" w:hAnsi="Times New Roman" w:cs="Times New Roman"/>
          <w:sz w:val="24"/>
          <w:szCs w:val="24"/>
        </w:rPr>
      </w:pPr>
      <w:r w:rsidRPr="00375C89">
        <w:rPr>
          <w:rFonts w:ascii="Times New Roman" w:hAnsi="Times New Roman" w:cs="Times New Roman"/>
          <w:sz w:val="24"/>
          <w:szCs w:val="24"/>
        </w:rPr>
        <w:t>Animal and murine models provide mechanistic evidence linking microbiome alterations with host immune, metabolic, and epithelial outcomes. These studies also support the development of microbiome-targeted therapeutic strategies</w:t>
      </w:r>
      <w:r w:rsidR="00663A4F" w:rsidRPr="00375C89">
        <w:rPr>
          <w:rFonts w:ascii="Times New Roman" w:hAnsi="Times New Roman" w:cs="Times New Roman"/>
          <w:sz w:val="24"/>
          <w:szCs w:val="24"/>
        </w:rPr>
        <w:t xml:space="preserve"> (Table </w:t>
      </w:r>
      <w:r w:rsidR="006E5453" w:rsidRPr="00375C89">
        <w:rPr>
          <w:rFonts w:ascii="Times New Roman" w:hAnsi="Times New Roman" w:cs="Times New Roman"/>
          <w:sz w:val="24"/>
          <w:szCs w:val="24"/>
        </w:rPr>
        <w:t>III</w:t>
      </w:r>
      <w:r w:rsidR="00663A4F" w:rsidRPr="00375C89">
        <w:rPr>
          <w:rFonts w:ascii="Times New Roman" w:hAnsi="Times New Roman" w:cs="Times New Roman"/>
          <w:sz w:val="24"/>
          <w:szCs w:val="24"/>
        </w:rPr>
        <w:t>)</w:t>
      </w:r>
      <w:r w:rsidRPr="00375C89">
        <w:rPr>
          <w:rFonts w:ascii="Times New Roman" w:hAnsi="Times New Roman" w:cs="Times New Roman"/>
          <w:sz w:val="24"/>
          <w:szCs w:val="24"/>
        </w:rPr>
        <w:t>.</w:t>
      </w:r>
    </w:p>
    <w:p w14:paraId="74177A2B" w14:textId="77777777" w:rsidR="009723C5" w:rsidRPr="00375C89" w:rsidRDefault="009723C5" w:rsidP="00663A4F">
      <w:pPr>
        <w:pStyle w:val="ListParagraph"/>
        <w:spacing w:after="0" w:line="360" w:lineRule="auto"/>
        <w:ind w:left="0"/>
        <w:jc w:val="both"/>
        <w:rPr>
          <w:rFonts w:ascii="Times New Roman" w:hAnsi="Times New Roman" w:cs="Times New Roman"/>
          <w:sz w:val="24"/>
          <w:szCs w:val="24"/>
        </w:rPr>
      </w:pPr>
    </w:p>
    <w:p w14:paraId="4D992E55" w14:textId="70EDE672" w:rsidR="00425C71" w:rsidRPr="00375C89" w:rsidRDefault="000F7B54" w:rsidP="000F7B54">
      <w:pPr>
        <w:pStyle w:val="ListParagraph"/>
        <w:spacing w:after="0" w:line="360" w:lineRule="auto"/>
        <w:ind w:left="0"/>
        <w:jc w:val="center"/>
        <w:rPr>
          <w:rFonts w:ascii="Times New Roman" w:hAnsi="Times New Roman" w:cs="Times New Roman"/>
          <w:sz w:val="24"/>
          <w:szCs w:val="24"/>
        </w:rPr>
      </w:pPr>
      <w:r w:rsidRPr="00375C89">
        <w:rPr>
          <w:rFonts w:ascii="Times New Roman" w:hAnsi="Times New Roman" w:cs="Times New Roman"/>
          <w:sz w:val="24"/>
          <w:szCs w:val="24"/>
        </w:rPr>
        <w:t>TABLE III. MOUSE AND ANIMAL MODELS LINKING MICROBIOMES TO HOST OUTCOMES: A MECHANISTIC EVIDENCE AND THERAPEUTIC INSIGHTS</w:t>
      </w:r>
    </w:p>
    <w:tbl>
      <w:tblPr>
        <w:tblStyle w:val="TableGrid"/>
        <w:tblW w:w="4951" w:type="pct"/>
        <w:tblInd w:w="90" w:type="dxa"/>
        <w:tblLayout w:type="fixed"/>
        <w:tblLook w:val="04A0" w:firstRow="1" w:lastRow="0" w:firstColumn="1" w:lastColumn="0" w:noHBand="0" w:noVBand="1"/>
      </w:tblPr>
      <w:tblGrid>
        <w:gridCol w:w="490"/>
        <w:gridCol w:w="1187"/>
        <w:gridCol w:w="1384"/>
        <w:gridCol w:w="1175"/>
        <w:gridCol w:w="1453"/>
        <w:gridCol w:w="1107"/>
        <w:gridCol w:w="1384"/>
        <w:gridCol w:w="748"/>
      </w:tblGrid>
      <w:tr w:rsidR="000F0B7F" w:rsidRPr="00375C89" w14:paraId="2D8085A6" w14:textId="1B274BC5" w:rsidTr="00FB3372">
        <w:tc>
          <w:tcPr>
            <w:tcW w:w="274" w:type="pct"/>
            <w:vAlign w:val="bottom"/>
            <w:hideMark/>
          </w:tcPr>
          <w:p w14:paraId="4C6A24DA" w14:textId="7AA2FD42"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S</w:t>
            </w:r>
            <w:r w:rsidR="009E0067" w:rsidRPr="00375C89">
              <w:rPr>
                <w:rFonts w:ascii="Times New Roman" w:hAnsi="Times New Roman" w:cs="Times New Roman"/>
                <w:b/>
                <w:bCs/>
              </w:rPr>
              <w:t>.</w:t>
            </w:r>
            <w:r w:rsidRPr="00375C89">
              <w:rPr>
                <w:rFonts w:ascii="Times New Roman" w:hAnsi="Times New Roman" w:cs="Times New Roman"/>
                <w:b/>
                <w:bCs/>
              </w:rPr>
              <w:t>N</w:t>
            </w:r>
            <w:r w:rsidR="00903D1D" w:rsidRPr="00375C89">
              <w:rPr>
                <w:rFonts w:ascii="Times New Roman" w:hAnsi="Times New Roman" w:cs="Times New Roman"/>
                <w:b/>
                <w:bCs/>
              </w:rPr>
              <w:t>.</w:t>
            </w:r>
          </w:p>
        </w:tc>
        <w:tc>
          <w:tcPr>
            <w:tcW w:w="665" w:type="pct"/>
            <w:vAlign w:val="bottom"/>
            <w:hideMark/>
          </w:tcPr>
          <w:p w14:paraId="1F1496DD" w14:textId="77777777"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Model / Section</w:t>
            </w:r>
          </w:p>
        </w:tc>
        <w:tc>
          <w:tcPr>
            <w:tcW w:w="775" w:type="pct"/>
            <w:vAlign w:val="bottom"/>
            <w:hideMark/>
          </w:tcPr>
          <w:p w14:paraId="73EC63B0" w14:textId="77777777"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Experimental System</w:t>
            </w:r>
          </w:p>
        </w:tc>
        <w:tc>
          <w:tcPr>
            <w:tcW w:w="658" w:type="pct"/>
            <w:vAlign w:val="bottom"/>
            <w:hideMark/>
          </w:tcPr>
          <w:p w14:paraId="4EB95B1C" w14:textId="77777777"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Key Dysbiotic Features</w:t>
            </w:r>
          </w:p>
        </w:tc>
        <w:tc>
          <w:tcPr>
            <w:tcW w:w="814" w:type="pct"/>
            <w:vAlign w:val="bottom"/>
            <w:hideMark/>
          </w:tcPr>
          <w:p w14:paraId="37E92AE6" w14:textId="77777777"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Primary Mechanisms Identified</w:t>
            </w:r>
          </w:p>
        </w:tc>
        <w:tc>
          <w:tcPr>
            <w:tcW w:w="620" w:type="pct"/>
            <w:vAlign w:val="bottom"/>
            <w:hideMark/>
          </w:tcPr>
          <w:p w14:paraId="071F7859" w14:textId="77777777"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Host Outcomes</w:t>
            </w:r>
          </w:p>
        </w:tc>
        <w:tc>
          <w:tcPr>
            <w:tcW w:w="775" w:type="pct"/>
            <w:vAlign w:val="bottom"/>
            <w:hideMark/>
          </w:tcPr>
          <w:p w14:paraId="5D58AA0C" w14:textId="77777777"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Translational Insight</w:t>
            </w:r>
          </w:p>
        </w:tc>
        <w:tc>
          <w:tcPr>
            <w:tcW w:w="420" w:type="pct"/>
            <w:vAlign w:val="bottom"/>
          </w:tcPr>
          <w:p w14:paraId="4D928D3F" w14:textId="42E9B3D8" w:rsidR="000F0B7F" w:rsidRPr="00375C89" w:rsidRDefault="000F0B7F" w:rsidP="00BF5176">
            <w:pPr>
              <w:jc w:val="center"/>
              <w:rPr>
                <w:rFonts w:ascii="Times New Roman" w:hAnsi="Times New Roman" w:cs="Times New Roman"/>
                <w:b/>
                <w:bCs/>
              </w:rPr>
            </w:pPr>
            <w:r w:rsidRPr="00375C89">
              <w:rPr>
                <w:rFonts w:ascii="Times New Roman" w:hAnsi="Times New Roman" w:cs="Times New Roman"/>
                <w:b/>
                <w:bCs/>
              </w:rPr>
              <w:t>Reference</w:t>
            </w:r>
          </w:p>
        </w:tc>
      </w:tr>
      <w:tr w:rsidR="000F0B7F" w:rsidRPr="00375C89" w14:paraId="310F1B0C" w14:textId="0A418B13" w:rsidTr="00FB3372">
        <w:tc>
          <w:tcPr>
            <w:tcW w:w="274" w:type="pct"/>
            <w:vAlign w:val="center"/>
            <w:hideMark/>
          </w:tcPr>
          <w:p w14:paraId="3693EB60"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w:t>
            </w:r>
          </w:p>
        </w:tc>
        <w:tc>
          <w:tcPr>
            <w:tcW w:w="665" w:type="pct"/>
            <w:vAlign w:val="center"/>
            <w:hideMark/>
          </w:tcPr>
          <w:p w14:paraId="63B992F2"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POI – Bacterial Dysbiosis</w:t>
            </w:r>
          </w:p>
        </w:tc>
        <w:tc>
          <w:tcPr>
            <w:tcW w:w="775" w:type="pct"/>
            <w:vAlign w:val="center"/>
            <w:hideMark/>
          </w:tcPr>
          <w:p w14:paraId="61473C4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Cyclophosphamide-induced POI mice</w:t>
            </w:r>
          </w:p>
        </w:tc>
        <w:tc>
          <w:tcPr>
            <w:tcW w:w="658" w:type="pct"/>
            <w:vAlign w:val="center"/>
            <w:hideMark/>
          </w:tcPr>
          <w:p w14:paraId="04E0855B"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 </w:t>
            </w:r>
            <w:r w:rsidRPr="00375C89">
              <w:rPr>
                <w:rFonts w:ascii="Times New Roman" w:hAnsi="Times New Roman" w:cs="Times New Roman"/>
                <w:i/>
                <w:iCs/>
                <w:sz w:val="20"/>
                <w:szCs w:val="20"/>
              </w:rPr>
              <w:t xml:space="preserve">Helicobacter, </w:t>
            </w:r>
            <w:proofErr w:type="spellStart"/>
            <w:r w:rsidRPr="00375C89">
              <w:rPr>
                <w:rFonts w:ascii="Times New Roman" w:hAnsi="Times New Roman" w:cs="Times New Roman"/>
                <w:i/>
                <w:iCs/>
                <w:sz w:val="20"/>
                <w:szCs w:val="20"/>
              </w:rPr>
              <w:t>Odoribacter</w:t>
            </w:r>
            <w:proofErr w:type="spellEnd"/>
            <w:r w:rsidRPr="00375C89">
              <w:rPr>
                <w:rFonts w:ascii="Times New Roman" w:hAnsi="Times New Roman" w:cs="Times New Roman"/>
                <w:i/>
                <w:iCs/>
                <w:sz w:val="20"/>
                <w:szCs w:val="20"/>
              </w:rPr>
              <w:t xml:space="preserve">, </w:t>
            </w:r>
            <w:proofErr w:type="spellStart"/>
            <w:r w:rsidRPr="00375C89">
              <w:rPr>
                <w:rFonts w:ascii="Times New Roman" w:hAnsi="Times New Roman" w:cs="Times New Roman"/>
                <w:i/>
                <w:iCs/>
                <w:sz w:val="20"/>
                <w:szCs w:val="20"/>
              </w:rPr>
              <w:t>Alistipes</w:t>
            </w:r>
            <w:proofErr w:type="spellEnd"/>
            <w:r w:rsidRPr="00375C89">
              <w:rPr>
                <w:rFonts w:ascii="Times New Roman" w:hAnsi="Times New Roman" w:cs="Times New Roman"/>
                <w:sz w:val="20"/>
                <w:szCs w:val="20"/>
              </w:rPr>
              <w:t xml:space="preserve">; ↑ </w:t>
            </w:r>
            <w:r w:rsidRPr="00375C89">
              <w:rPr>
                <w:rFonts w:ascii="Times New Roman" w:hAnsi="Times New Roman" w:cs="Times New Roman"/>
                <w:i/>
                <w:iCs/>
                <w:sz w:val="20"/>
                <w:szCs w:val="20"/>
              </w:rPr>
              <w:t xml:space="preserve">Clostridium </w:t>
            </w:r>
            <w:proofErr w:type="spellStart"/>
            <w:r w:rsidRPr="00375C89">
              <w:rPr>
                <w:rFonts w:ascii="Times New Roman" w:hAnsi="Times New Roman" w:cs="Times New Roman"/>
                <w:i/>
                <w:iCs/>
                <w:sz w:val="20"/>
                <w:szCs w:val="20"/>
              </w:rPr>
              <w:t>XIVa</w:t>
            </w:r>
            <w:proofErr w:type="spellEnd"/>
            <w:r w:rsidRPr="00375C89">
              <w:rPr>
                <w:rFonts w:ascii="Times New Roman" w:hAnsi="Times New Roman" w:cs="Times New Roman"/>
                <w:i/>
                <w:iCs/>
                <w:sz w:val="20"/>
                <w:szCs w:val="20"/>
              </w:rPr>
              <w:t xml:space="preserve">, </w:t>
            </w:r>
            <w:proofErr w:type="spellStart"/>
            <w:r w:rsidRPr="00375C89">
              <w:rPr>
                <w:rFonts w:ascii="Times New Roman" w:hAnsi="Times New Roman" w:cs="Times New Roman"/>
                <w:i/>
                <w:iCs/>
                <w:sz w:val="20"/>
                <w:szCs w:val="20"/>
              </w:rPr>
              <w:t>Barnesiella</w:t>
            </w:r>
            <w:proofErr w:type="spellEnd"/>
            <w:r w:rsidRPr="00375C89">
              <w:rPr>
                <w:rFonts w:ascii="Times New Roman" w:hAnsi="Times New Roman" w:cs="Times New Roman"/>
                <w:i/>
                <w:iCs/>
                <w:sz w:val="20"/>
                <w:szCs w:val="20"/>
              </w:rPr>
              <w:t xml:space="preserve">, Bacteroides, </w:t>
            </w:r>
            <w:proofErr w:type="spellStart"/>
            <w:r w:rsidRPr="00375C89">
              <w:rPr>
                <w:rFonts w:ascii="Times New Roman" w:hAnsi="Times New Roman" w:cs="Times New Roman"/>
                <w:i/>
                <w:iCs/>
                <w:sz w:val="20"/>
                <w:szCs w:val="20"/>
              </w:rPr>
              <w:t>Mucispirill</w:t>
            </w:r>
            <w:r w:rsidRPr="00375C89">
              <w:rPr>
                <w:rFonts w:ascii="Times New Roman" w:hAnsi="Times New Roman" w:cs="Times New Roman"/>
                <w:i/>
                <w:iCs/>
                <w:sz w:val="20"/>
                <w:szCs w:val="20"/>
              </w:rPr>
              <w:lastRenderedPageBreak/>
              <w:t>um</w:t>
            </w:r>
            <w:proofErr w:type="spellEnd"/>
          </w:p>
        </w:tc>
        <w:tc>
          <w:tcPr>
            <w:tcW w:w="814" w:type="pct"/>
            <w:vAlign w:val="center"/>
            <w:hideMark/>
          </w:tcPr>
          <w:p w14:paraId="34689674"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lastRenderedPageBreak/>
              <w:t>Microbiota–endocrine coupling; hormone–taxa correlations</w:t>
            </w:r>
          </w:p>
        </w:tc>
        <w:tc>
          <w:tcPr>
            <w:tcW w:w="620" w:type="pct"/>
            <w:vAlign w:val="center"/>
            <w:hideMark/>
          </w:tcPr>
          <w:p w14:paraId="2B60A1E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Ovarian failure, follicular atresia, infertility</w:t>
            </w:r>
          </w:p>
        </w:tc>
        <w:tc>
          <w:tcPr>
            <w:tcW w:w="775" w:type="pct"/>
            <w:vAlign w:val="center"/>
            <w:hideMark/>
          </w:tcPr>
          <w:p w14:paraId="3530ED5F"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Dysbiosis is mechanistically linked to ovarian endocrine dysfunction</w:t>
            </w:r>
          </w:p>
        </w:tc>
        <w:tc>
          <w:tcPr>
            <w:tcW w:w="420" w:type="pct"/>
            <w:vAlign w:val="center"/>
          </w:tcPr>
          <w:p w14:paraId="0F80FB92" w14:textId="1C93E082" w:rsidR="000F0B7F" w:rsidRPr="00375C89" w:rsidRDefault="00204C2E" w:rsidP="00BF5176">
            <w:pPr>
              <w:jc w:val="center"/>
              <w:rPr>
                <w:rFonts w:ascii="Times New Roman" w:hAnsi="Times New Roman" w:cs="Times New Roman"/>
                <w:sz w:val="20"/>
                <w:szCs w:val="20"/>
              </w:rPr>
            </w:pPr>
            <w:r w:rsidRPr="00375C89">
              <w:rPr>
                <w:rFonts w:ascii="Times New Roman" w:hAnsi="Times New Roman" w:cs="Times New Roman"/>
                <w:sz w:val="20"/>
                <w:szCs w:val="20"/>
              </w:rPr>
              <w:t>Cao</w:t>
            </w:r>
            <w:r w:rsidR="002F5DA4" w:rsidRPr="00375C89">
              <w:rPr>
                <w:rFonts w:ascii="Times New Roman" w:hAnsi="Times New Roman" w:cs="Times New Roman"/>
                <w:sz w:val="20"/>
                <w:szCs w:val="20"/>
              </w:rPr>
              <w:t xml:space="preserve"> et</w:t>
            </w:r>
            <w:r w:rsidR="00FD6599" w:rsidRPr="00375C89">
              <w:rPr>
                <w:rFonts w:ascii="Times New Roman" w:hAnsi="Times New Roman" w:cs="Times New Roman"/>
                <w:sz w:val="20"/>
                <w:szCs w:val="20"/>
              </w:rPr>
              <w:t xml:space="preserve"> </w:t>
            </w:r>
            <w:r w:rsidR="002F5DA4" w:rsidRPr="00375C89">
              <w:rPr>
                <w:rFonts w:ascii="Times New Roman" w:hAnsi="Times New Roman" w:cs="Times New Roman"/>
                <w:sz w:val="20"/>
                <w:szCs w:val="20"/>
              </w:rPr>
              <w:t>al. 202</w:t>
            </w:r>
            <w:r w:rsidRPr="00375C89">
              <w:rPr>
                <w:rFonts w:ascii="Times New Roman" w:hAnsi="Times New Roman" w:cs="Times New Roman"/>
                <w:sz w:val="20"/>
                <w:szCs w:val="20"/>
              </w:rPr>
              <w:t>0</w:t>
            </w:r>
          </w:p>
        </w:tc>
      </w:tr>
      <w:tr w:rsidR="000F0B7F" w:rsidRPr="00375C89" w14:paraId="2A7E38D1" w14:textId="623FD532" w:rsidTr="00FB3372">
        <w:tc>
          <w:tcPr>
            <w:tcW w:w="274" w:type="pct"/>
            <w:vAlign w:val="center"/>
            <w:hideMark/>
          </w:tcPr>
          <w:p w14:paraId="2B8D646B"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2</w:t>
            </w:r>
          </w:p>
        </w:tc>
        <w:tc>
          <w:tcPr>
            <w:tcW w:w="665" w:type="pct"/>
            <w:vAlign w:val="center"/>
            <w:hideMark/>
          </w:tcPr>
          <w:p w14:paraId="6A52142A"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POI – Probiotic Intervention</w:t>
            </w:r>
          </w:p>
        </w:tc>
        <w:tc>
          <w:tcPr>
            <w:tcW w:w="775" w:type="pct"/>
            <w:vAlign w:val="center"/>
            <w:hideMark/>
          </w:tcPr>
          <w:p w14:paraId="69DC916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Oral 12-strain probiotic gavage (28 days)</w:t>
            </w:r>
          </w:p>
        </w:tc>
        <w:tc>
          <w:tcPr>
            <w:tcW w:w="658" w:type="pct"/>
            <w:vAlign w:val="center"/>
            <w:hideMark/>
          </w:tcPr>
          <w:p w14:paraId="4DC3302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Restoration of commensal taxa</w:t>
            </w:r>
          </w:p>
        </w:tc>
        <w:tc>
          <w:tcPr>
            <w:tcW w:w="814" w:type="pct"/>
            <w:vAlign w:val="center"/>
            <w:hideMark/>
          </w:tcPr>
          <w:p w14:paraId="541C0FA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Immune reprogramming; cytokine normalization; lipid metabolism correction</w:t>
            </w:r>
          </w:p>
        </w:tc>
        <w:tc>
          <w:tcPr>
            <w:tcW w:w="620" w:type="pct"/>
            <w:vAlign w:val="center"/>
            <w:hideMark/>
          </w:tcPr>
          <w:p w14:paraId="53925E2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Partial ovarian recovery; ↑ follicles; ↓ atresia</w:t>
            </w:r>
          </w:p>
        </w:tc>
        <w:tc>
          <w:tcPr>
            <w:tcW w:w="775" w:type="pct"/>
            <w:vAlign w:val="center"/>
            <w:hideMark/>
          </w:tcPr>
          <w:p w14:paraId="3133C7A1"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Proof-of-concept for microbiome-targeted POI therapy</w:t>
            </w:r>
          </w:p>
        </w:tc>
        <w:tc>
          <w:tcPr>
            <w:tcW w:w="420" w:type="pct"/>
            <w:vAlign w:val="center"/>
          </w:tcPr>
          <w:p w14:paraId="45E2D21B" w14:textId="31E32503" w:rsidR="000F0B7F" w:rsidRPr="00375C89" w:rsidRDefault="00204C2E" w:rsidP="00BF5176">
            <w:pPr>
              <w:jc w:val="center"/>
              <w:rPr>
                <w:rFonts w:ascii="Times New Roman" w:hAnsi="Times New Roman" w:cs="Times New Roman"/>
                <w:sz w:val="20"/>
                <w:szCs w:val="20"/>
              </w:rPr>
            </w:pPr>
            <w:r w:rsidRPr="00375C89">
              <w:rPr>
                <w:rFonts w:ascii="Times New Roman" w:hAnsi="Times New Roman" w:cs="Times New Roman"/>
                <w:sz w:val="20"/>
                <w:szCs w:val="20"/>
              </w:rPr>
              <w:t>Cao</w:t>
            </w:r>
            <w:r w:rsidR="00146F8A" w:rsidRPr="00375C89">
              <w:rPr>
                <w:rFonts w:ascii="Times New Roman" w:hAnsi="Times New Roman" w:cs="Times New Roman"/>
                <w:sz w:val="20"/>
                <w:szCs w:val="20"/>
              </w:rPr>
              <w:t xml:space="preserve"> et al.</w:t>
            </w:r>
            <w:r w:rsidR="00FD6599" w:rsidRPr="00375C89">
              <w:rPr>
                <w:rFonts w:ascii="Times New Roman" w:hAnsi="Times New Roman" w:cs="Times New Roman"/>
                <w:sz w:val="20"/>
                <w:szCs w:val="20"/>
              </w:rPr>
              <w:t xml:space="preserve"> </w:t>
            </w:r>
            <w:r w:rsidR="00146F8A" w:rsidRPr="00375C89">
              <w:rPr>
                <w:rFonts w:ascii="Times New Roman" w:hAnsi="Times New Roman" w:cs="Times New Roman"/>
                <w:sz w:val="20"/>
                <w:szCs w:val="20"/>
              </w:rPr>
              <w:t>202</w:t>
            </w:r>
            <w:r w:rsidRPr="00375C89">
              <w:rPr>
                <w:rFonts w:ascii="Times New Roman" w:hAnsi="Times New Roman" w:cs="Times New Roman"/>
                <w:sz w:val="20"/>
                <w:szCs w:val="20"/>
              </w:rPr>
              <w:t>5</w:t>
            </w:r>
          </w:p>
        </w:tc>
      </w:tr>
      <w:tr w:rsidR="000F0B7F" w:rsidRPr="00375C89" w14:paraId="1546922B" w14:textId="29A321B6" w:rsidTr="00FB3372">
        <w:tc>
          <w:tcPr>
            <w:tcW w:w="274" w:type="pct"/>
            <w:vAlign w:val="center"/>
            <w:hideMark/>
          </w:tcPr>
          <w:p w14:paraId="47566EC9"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3</w:t>
            </w:r>
          </w:p>
        </w:tc>
        <w:tc>
          <w:tcPr>
            <w:tcW w:w="665" w:type="pct"/>
            <w:vAlign w:val="center"/>
            <w:hideMark/>
          </w:tcPr>
          <w:p w14:paraId="59E4EC1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Gut–Vaginal Axis</w:t>
            </w:r>
          </w:p>
        </w:tc>
        <w:tc>
          <w:tcPr>
            <w:tcW w:w="775" w:type="pct"/>
            <w:vAlign w:val="center"/>
            <w:hideMark/>
          </w:tcPr>
          <w:p w14:paraId="3E41E461"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Oral probiotics with vaginal microbiome profiling</w:t>
            </w:r>
          </w:p>
        </w:tc>
        <w:tc>
          <w:tcPr>
            <w:tcW w:w="658" w:type="pct"/>
            <w:vAlign w:val="center"/>
            <w:hideMark/>
          </w:tcPr>
          <w:p w14:paraId="00E335A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Vaginal Lactobacillus restoration</w:t>
            </w:r>
          </w:p>
        </w:tc>
        <w:tc>
          <w:tcPr>
            <w:tcW w:w="814" w:type="pct"/>
            <w:vAlign w:val="center"/>
            <w:hideMark/>
          </w:tcPr>
          <w:p w14:paraId="278E2E65" w14:textId="74D69FF9"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Immune cell trafficking; systemic metabolite </w:t>
            </w:r>
            <w:r w:rsidR="00602A2C" w:rsidRPr="00375C89">
              <w:rPr>
                <w:rFonts w:ascii="Times New Roman" w:hAnsi="Times New Roman" w:cs="Times New Roman"/>
                <w:sz w:val="20"/>
                <w:szCs w:val="20"/>
              </w:rPr>
              <w:t>signalling</w:t>
            </w:r>
          </w:p>
        </w:tc>
        <w:tc>
          <w:tcPr>
            <w:tcW w:w="620" w:type="pct"/>
            <w:vAlign w:val="center"/>
            <w:hideMark/>
          </w:tcPr>
          <w:p w14:paraId="1496B3A9"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Reduced vaginal inflammation</w:t>
            </w:r>
          </w:p>
        </w:tc>
        <w:tc>
          <w:tcPr>
            <w:tcW w:w="775" w:type="pct"/>
            <w:vAlign w:val="center"/>
            <w:hideMark/>
          </w:tcPr>
          <w:p w14:paraId="747706A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Systemic microbiota modulation affects distal reproductive sites</w:t>
            </w:r>
          </w:p>
        </w:tc>
        <w:tc>
          <w:tcPr>
            <w:tcW w:w="420" w:type="pct"/>
            <w:vAlign w:val="center"/>
          </w:tcPr>
          <w:p w14:paraId="72511D07" w14:textId="720FAFFD" w:rsidR="000F0B7F" w:rsidRPr="00375C89" w:rsidRDefault="00204C2E" w:rsidP="00BF5176">
            <w:pPr>
              <w:jc w:val="center"/>
              <w:rPr>
                <w:rFonts w:ascii="Times New Roman" w:hAnsi="Times New Roman" w:cs="Times New Roman"/>
                <w:sz w:val="20"/>
                <w:szCs w:val="20"/>
              </w:rPr>
            </w:pPr>
            <w:r w:rsidRPr="00375C89">
              <w:rPr>
                <w:rFonts w:ascii="Times New Roman" w:hAnsi="Times New Roman" w:cs="Times New Roman"/>
                <w:sz w:val="20"/>
                <w:szCs w:val="20"/>
              </w:rPr>
              <w:t>Xu</w:t>
            </w:r>
            <w:r w:rsidR="00146F8A" w:rsidRPr="00375C89">
              <w:rPr>
                <w:rFonts w:ascii="Times New Roman" w:hAnsi="Times New Roman" w:cs="Times New Roman"/>
                <w:sz w:val="20"/>
                <w:szCs w:val="20"/>
              </w:rPr>
              <w:t xml:space="preserve"> et al. 202</w:t>
            </w:r>
            <w:r w:rsidRPr="00375C89">
              <w:rPr>
                <w:rFonts w:ascii="Times New Roman" w:hAnsi="Times New Roman" w:cs="Times New Roman"/>
                <w:sz w:val="20"/>
                <w:szCs w:val="20"/>
              </w:rPr>
              <w:t>4</w:t>
            </w:r>
          </w:p>
        </w:tc>
      </w:tr>
      <w:tr w:rsidR="000F0B7F" w:rsidRPr="00375C89" w14:paraId="047EC527" w14:textId="2CD3948C" w:rsidTr="00FB3372">
        <w:tc>
          <w:tcPr>
            <w:tcW w:w="274" w:type="pct"/>
            <w:vAlign w:val="center"/>
            <w:hideMark/>
          </w:tcPr>
          <w:p w14:paraId="4F62298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4</w:t>
            </w:r>
          </w:p>
        </w:tc>
        <w:tc>
          <w:tcPr>
            <w:tcW w:w="665" w:type="pct"/>
            <w:vAlign w:val="center"/>
            <w:hideMark/>
          </w:tcPr>
          <w:p w14:paraId="03E0ED54"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Gut Virome Dysbiosis in POI</w:t>
            </w:r>
          </w:p>
        </w:tc>
        <w:tc>
          <w:tcPr>
            <w:tcW w:w="775" w:type="pct"/>
            <w:vAlign w:val="center"/>
            <w:hideMark/>
          </w:tcPr>
          <w:p w14:paraId="66FD609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Human POI </w:t>
            </w:r>
            <w:proofErr w:type="spellStart"/>
            <w:r w:rsidRPr="00375C89">
              <w:rPr>
                <w:rFonts w:ascii="Times New Roman" w:hAnsi="Times New Roman" w:cs="Times New Roman"/>
                <w:sz w:val="20"/>
                <w:szCs w:val="20"/>
              </w:rPr>
              <w:t>virome</w:t>
            </w:r>
            <w:proofErr w:type="spellEnd"/>
            <w:r w:rsidRPr="00375C89">
              <w:rPr>
                <w:rFonts w:ascii="Times New Roman" w:hAnsi="Times New Roman" w:cs="Times New Roman"/>
                <w:sz w:val="20"/>
                <w:szCs w:val="20"/>
              </w:rPr>
              <w:t xml:space="preserve"> profiling</w:t>
            </w:r>
          </w:p>
        </w:tc>
        <w:tc>
          <w:tcPr>
            <w:tcW w:w="658" w:type="pct"/>
            <w:vAlign w:val="center"/>
            <w:hideMark/>
          </w:tcPr>
          <w:p w14:paraId="216F801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viral α-diversity; ↑ phage stress genes (AcrIF1); altered AMGs</w:t>
            </w:r>
          </w:p>
        </w:tc>
        <w:tc>
          <w:tcPr>
            <w:tcW w:w="814" w:type="pct"/>
            <w:vAlign w:val="center"/>
            <w:hideMark/>
          </w:tcPr>
          <w:p w14:paraId="4D918FC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Virome-driven bacterial metabolic reprogramming</w:t>
            </w:r>
          </w:p>
        </w:tc>
        <w:tc>
          <w:tcPr>
            <w:tcW w:w="620" w:type="pct"/>
            <w:vAlign w:val="center"/>
            <w:hideMark/>
          </w:tcPr>
          <w:p w14:paraId="64469412" w14:textId="419A9430"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Hormonal imbalance, ovarian </w:t>
            </w:r>
            <w:proofErr w:type="spellStart"/>
            <w:r w:rsidRPr="00375C89">
              <w:rPr>
                <w:rFonts w:ascii="Times New Roman" w:hAnsi="Times New Roman" w:cs="Times New Roman"/>
                <w:sz w:val="20"/>
                <w:szCs w:val="20"/>
              </w:rPr>
              <w:t>dysfunc</w:t>
            </w:r>
            <w:r w:rsidR="00E377F3" w:rsidRPr="00375C89">
              <w:rPr>
                <w:rFonts w:ascii="Times New Roman" w:hAnsi="Times New Roman" w:cs="Times New Roman"/>
                <w:sz w:val="20"/>
                <w:szCs w:val="20"/>
              </w:rPr>
              <w:t>-</w:t>
            </w:r>
            <w:r w:rsidRPr="00375C89">
              <w:rPr>
                <w:rFonts w:ascii="Times New Roman" w:hAnsi="Times New Roman" w:cs="Times New Roman"/>
                <w:sz w:val="20"/>
                <w:szCs w:val="20"/>
              </w:rPr>
              <w:t>tion</w:t>
            </w:r>
            <w:proofErr w:type="spellEnd"/>
          </w:p>
        </w:tc>
        <w:tc>
          <w:tcPr>
            <w:tcW w:w="775" w:type="pct"/>
            <w:vAlign w:val="center"/>
            <w:hideMark/>
          </w:tcPr>
          <w:p w14:paraId="02AB664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Virome is an independent regulator of reproductive health</w:t>
            </w:r>
          </w:p>
        </w:tc>
        <w:tc>
          <w:tcPr>
            <w:tcW w:w="420" w:type="pct"/>
            <w:vAlign w:val="center"/>
          </w:tcPr>
          <w:p w14:paraId="4BF69434" w14:textId="5EDF7D30" w:rsidR="000F0B7F" w:rsidRPr="00375C89" w:rsidRDefault="00E4487A" w:rsidP="00BF5176">
            <w:pPr>
              <w:jc w:val="center"/>
              <w:rPr>
                <w:rFonts w:ascii="Times New Roman" w:hAnsi="Times New Roman" w:cs="Times New Roman"/>
                <w:sz w:val="20"/>
                <w:szCs w:val="20"/>
              </w:rPr>
            </w:pPr>
            <w:r w:rsidRPr="00375C89">
              <w:rPr>
                <w:rFonts w:ascii="Times New Roman" w:hAnsi="Times New Roman" w:cs="Times New Roman"/>
                <w:sz w:val="20"/>
                <w:szCs w:val="20"/>
              </w:rPr>
              <w:t>Jin</w:t>
            </w:r>
            <w:r w:rsidR="00146F8A" w:rsidRPr="00375C89">
              <w:rPr>
                <w:rFonts w:ascii="Times New Roman" w:hAnsi="Times New Roman" w:cs="Times New Roman"/>
                <w:sz w:val="20"/>
                <w:szCs w:val="20"/>
              </w:rPr>
              <w:t xml:space="preserve"> et al. 202</w:t>
            </w:r>
            <w:r w:rsidRPr="00375C89">
              <w:rPr>
                <w:rFonts w:ascii="Times New Roman" w:hAnsi="Times New Roman" w:cs="Times New Roman"/>
                <w:sz w:val="20"/>
                <w:szCs w:val="20"/>
              </w:rPr>
              <w:t>6</w:t>
            </w:r>
          </w:p>
        </w:tc>
      </w:tr>
      <w:tr w:rsidR="000F0B7F" w:rsidRPr="00375C89" w14:paraId="0BFCA969" w14:textId="72F042ED" w:rsidTr="00FB3372">
        <w:tc>
          <w:tcPr>
            <w:tcW w:w="274" w:type="pct"/>
            <w:vAlign w:val="center"/>
            <w:hideMark/>
          </w:tcPr>
          <w:p w14:paraId="575CFEAA"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6</w:t>
            </w:r>
          </w:p>
        </w:tc>
        <w:tc>
          <w:tcPr>
            <w:tcW w:w="665" w:type="pct"/>
            <w:vAlign w:val="center"/>
            <w:hideMark/>
          </w:tcPr>
          <w:p w14:paraId="25A2A1EA"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i/>
                <w:iCs/>
                <w:sz w:val="20"/>
                <w:szCs w:val="20"/>
              </w:rPr>
              <w:t>Gardnerella vaginalis</w:t>
            </w:r>
            <w:r w:rsidRPr="00375C89">
              <w:rPr>
                <w:rFonts w:ascii="Times New Roman" w:hAnsi="Times New Roman" w:cs="Times New Roman"/>
                <w:sz w:val="20"/>
                <w:szCs w:val="20"/>
              </w:rPr>
              <w:t xml:space="preserve"> Inflammation</w:t>
            </w:r>
          </w:p>
        </w:tc>
        <w:tc>
          <w:tcPr>
            <w:tcW w:w="775" w:type="pct"/>
            <w:vAlign w:val="center"/>
            <w:hideMark/>
          </w:tcPr>
          <w:p w14:paraId="6B2A65E5"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Macrophage &amp; vaginal mouse models</w:t>
            </w:r>
          </w:p>
        </w:tc>
        <w:tc>
          <w:tcPr>
            <w:tcW w:w="658" w:type="pct"/>
            <w:vAlign w:val="center"/>
            <w:hideMark/>
          </w:tcPr>
          <w:p w14:paraId="549404D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Keystone BV pathogen dominance</w:t>
            </w:r>
          </w:p>
        </w:tc>
        <w:tc>
          <w:tcPr>
            <w:tcW w:w="814" w:type="pct"/>
            <w:vAlign w:val="center"/>
            <w:hideMark/>
          </w:tcPr>
          <w:p w14:paraId="4D8B8A1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ROS production; NLRP3 inflammasome → caspase-1 → pyroptosis</w:t>
            </w:r>
          </w:p>
        </w:tc>
        <w:tc>
          <w:tcPr>
            <w:tcW w:w="620" w:type="pct"/>
            <w:vAlign w:val="center"/>
            <w:hideMark/>
          </w:tcPr>
          <w:p w14:paraId="7D3DA590"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Severe vaginitis; IL-1β, IL-18 release</w:t>
            </w:r>
          </w:p>
        </w:tc>
        <w:tc>
          <w:tcPr>
            <w:tcW w:w="775" w:type="pct"/>
            <w:vAlign w:val="center"/>
            <w:hideMark/>
          </w:tcPr>
          <w:p w14:paraId="41058644"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Dysbiosis drives immune-mediated tissue damage</w:t>
            </w:r>
          </w:p>
        </w:tc>
        <w:tc>
          <w:tcPr>
            <w:tcW w:w="420" w:type="pct"/>
            <w:vAlign w:val="center"/>
          </w:tcPr>
          <w:p w14:paraId="064483B3" w14:textId="3ED27314" w:rsidR="000F0B7F" w:rsidRPr="00375C89" w:rsidRDefault="00E4487A" w:rsidP="00BF5176">
            <w:pPr>
              <w:jc w:val="center"/>
              <w:rPr>
                <w:rFonts w:ascii="Times New Roman" w:hAnsi="Times New Roman" w:cs="Times New Roman"/>
                <w:sz w:val="20"/>
                <w:szCs w:val="20"/>
              </w:rPr>
            </w:pPr>
            <w:r w:rsidRPr="00375C89">
              <w:rPr>
                <w:rFonts w:ascii="Times New Roman" w:hAnsi="Times New Roman" w:cs="Times New Roman"/>
                <w:sz w:val="20"/>
                <w:szCs w:val="20"/>
              </w:rPr>
              <w:t>Xiang</w:t>
            </w:r>
            <w:r w:rsidR="00146F8A" w:rsidRPr="00375C89">
              <w:rPr>
                <w:rFonts w:ascii="Times New Roman" w:hAnsi="Times New Roman" w:cs="Times New Roman"/>
                <w:i/>
                <w:iCs/>
                <w:sz w:val="20"/>
                <w:szCs w:val="20"/>
              </w:rPr>
              <w:t xml:space="preserve"> </w:t>
            </w:r>
            <w:r w:rsidR="00146F8A" w:rsidRPr="00375C89">
              <w:rPr>
                <w:rFonts w:ascii="Times New Roman" w:hAnsi="Times New Roman" w:cs="Times New Roman"/>
                <w:sz w:val="20"/>
                <w:szCs w:val="20"/>
              </w:rPr>
              <w:t>et al. 20</w:t>
            </w:r>
            <w:r w:rsidRPr="00375C89">
              <w:rPr>
                <w:rFonts w:ascii="Times New Roman" w:hAnsi="Times New Roman" w:cs="Times New Roman"/>
                <w:sz w:val="20"/>
                <w:szCs w:val="20"/>
              </w:rPr>
              <w:t>21</w:t>
            </w:r>
          </w:p>
        </w:tc>
      </w:tr>
      <w:tr w:rsidR="000F0B7F" w:rsidRPr="00375C89" w14:paraId="47CE520F" w14:textId="0963D399" w:rsidTr="00FB3372">
        <w:trPr>
          <w:trHeight w:val="1562"/>
        </w:trPr>
        <w:tc>
          <w:tcPr>
            <w:tcW w:w="274" w:type="pct"/>
            <w:vAlign w:val="center"/>
            <w:hideMark/>
          </w:tcPr>
          <w:p w14:paraId="0EF560AC"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8</w:t>
            </w:r>
          </w:p>
        </w:tc>
        <w:tc>
          <w:tcPr>
            <w:tcW w:w="665" w:type="pct"/>
            <w:vAlign w:val="center"/>
            <w:hideMark/>
          </w:tcPr>
          <w:p w14:paraId="768A5E8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Bacterial Extracellular Vesicles (</w:t>
            </w:r>
            <w:proofErr w:type="spellStart"/>
            <w:r w:rsidRPr="00375C89">
              <w:rPr>
                <w:rFonts w:ascii="Times New Roman" w:hAnsi="Times New Roman" w:cs="Times New Roman"/>
                <w:sz w:val="20"/>
                <w:szCs w:val="20"/>
              </w:rPr>
              <w:t>gEVs</w:t>
            </w:r>
            <w:proofErr w:type="spellEnd"/>
            <w:r w:rsidRPr="00375C89">
              <w:rPr>
                <w:rFonts w:ascii="Times New Roman" w:hAnsi="Times New Roman" w:cs="Times New Roman"/>
                <w:sz w:val="20"/>
                <w:szCs w:val="20"/>
              </w:rPr>
              <w:t>)</w:t>
            </w:r>
          </w:p>
        </w:tc>
        <w:tc>
          <w:tcPr>
            <w:tcW w:w="775" w:type="pct"/>
            <w:vAlign w:val="center"/>
            <w:hideMark/>
          </w:tcPr>
          <w:p w14:paraId="35595C2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Vaginal exposure to </w:t>
            </w:r>
            <w:r w:rsidRPr="00375C89">
              <w:rPr>
                <w:rFonts w:ascii="Times New Roman" w:hAnsi="Times New Roman" w:cs="Times New Roman"/>
                <w:i/>
                <w:iCs/>
                <w:sz w:val="20"/>
                <w:szCs w:val="20"/>
              </w:rPr>
              <w:t>G. vaginalis</w:t>
            </w:r>
            <w:r w:rsidRPr="00375C89">
              <w:rPr>
                <w:rFonts w:ascii="Times New Roman" w:hAnsi="Times New Roman" w:cs="Times New Roman"/>
                <w:sz w:val="20"/>
                <w:szCs w:val="20"/>
              </w:rPr>
              <w:t xml:space="preserve"> EVs</w:t>
            </w:r>
          </w:p>
        </w:tc>
        <w:tc>
          <w:tcPr>
            <w:tcW w:w="658" w:type="pct"/>
            <w:vAlign w:val="center"/>
            <w:hideMark/>
          </w:tcPr>
          <w:p w14:paraId="4031086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EV-mediated inflammatory cargo</w:t>
            </w:r>
          </w:p>
        </w:tc>
        <w:tc>
          <w:tcPr>
            <w:tcW w:w="814" w:type="pct"/>
            <w:vAlign w:val="center"/>
            <w:hideMark/>
          </w:tcPr>
          <w:p w14:paraId="341D29A5"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NF-</w:t>
            </w:r>
            <w:proofErr w:type="spellStart"/>
            <w:r w:rsidRPr="00375C89">
              <w:rPr>
                <w:rFonts w:ascii="Times New Roman" w:hAnsi="Times New Roman" w:cs="Times New Roman"/>
                <w:sz w:val="20"/>
                <w:szCs w:val="20"/>
              </w:rPr>
              <w:t>κB</w:t>
            </w:r>
            <w:proofErr w:type="spellEnd"/>
            <w:r w:rsidRPr="00375C89">
              <w:rPr>
                <w:rFonts w:ascii="Times New Roman" w:hAnsi="Times New Roman" w:cs="Times New Roman"/>
                <w:sz w:val="20"/>
                <w:szCs w:val="20"/>
              </w:rPr>
              <w:t xml:space="preserve"> activation without live bacteria</w:t>
            </w:r>
          </w:p>
        </w:tc>
        <w:tc>
          <w:tcPr>
            <w:tcW w:w="620" w:type="pct"/>
            <w:vAlign w:val="center"/>
            <w:hideMark/>
          </w:tcPr>
          <w:p w14:paraId="5DD375EF"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Vaginitis, systemic and neuroinflammation</w:t>
            </w:r>
          </w:p>
        </w:tc>
        <w:tc>
          <w:tcPr>
            <w:tcW w:w="775" w:type="pct"/>
            <w:vAlign w:val="center"/>
            <w:hideMark/>
          </w:tcPr>
          <w:p w14:paraId="1460273F"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Explains CNS effects of reproductive tract dysbiosis</w:t>
            </w:r>
          </w:p>
        </w:tc>
        <w:tc>
          <w:tcPr>
            <w:tcW w:w="420" w:type="pct"/>
            <w:vAlign w:val="center"/>
          </w:tcPr>
          <w:p w14:paraId="55B94955" w14:textId="70E0F5BD" w:rsidR="000F0B7F" w:rsidRPr="00375C89" w:rsidRDefault="00E4487A" w:rsidP="00BF5176">
            <w:pPr>
              <w:jc w:val="center"/>
              <w:rPr>
                <w:rFonts w:ascii="Times New Roman" w:hAnsi="Times New Roman" w:cs="Times New Roman"/>
                <w:sz w:val="20"/>
                <w:szCs w:val="20"/>
              </w:rPr>
            </w:pPr>
            <w:r w:rsidRPr="00375C89">
              <w:rPr>
                <w:rFonts w:ascii="Times New Roman" w:hAnsi="Times New Roman" w:cs="Times New Roman"/>
                <w:sz w:val="20"/>
                <w:szCs w:val="20"/>
              </w:rPr>
              <w:t>Shin</w:t>
            </w:r>
            <w:r w:rsidR="00146F8A" w:rsidRPr="00375C89">
              <w:rPr>
                <w:rFonts w:ascii="Times New Roman" w:hAnsi="Times New Roman" w:cs="Times New Roman"/>
                <w:sz w:val="20"/>
                <w:szCs w:val="20"/>
              </w:rPr>
              <w:t xml:space="preserve"> et al.</w:t>
            </w:r>
            <w:r w:rsidR="00FD6599" w:rsidRPr="00375C89">
              <w:rPr>
                <w:rFonts w:ascii="Times New Roman" w:hAnsi="Times New Roman" w:cs="Times New Roman"/>
                <w:sz w:val="20"/>
                <w:szCs w:val="20"/>
              </w:rPr>
              <w:t xml:space="preserve"> </w:t>
            </w:r>
            <w:r w:rsidR="00146F8A" w:rsidRPr="00375C89">
              <w:rPr>
                <w:rFonts w:ascii="Times New Roman" w:hAnsi="Times New Roman" w:cs="Times New Roman"/>
                <w:sz w:val="20"/>
                <w:szCs w:val="20"/>
              </w:rPr>
              <w:t>202</w:t>
            </w:r>
            <w:r w:rsidRPr="00375C89">
              <w:rPr>
                <w:rFonts w:ascii="Times New Roman" w:hAnsi="Times New Roman" w:cs="Times New Roman"/>
                <w:sz w:val="20"/>
                <w:szCs w:val="20"/>
              </w:rPr>
              <w:t>5</w:t>
            </w:r>
          </w:p>
        </w:tc>
      </w:tr>
      <w:tr w:rsidR="000F0B7F" w:rsidRPr="00375C89" w14:paraId="7498EF01" w14:textId="403F16EC" w:rsidTr="00FB3372">
        <w:tc>
          <w:tcPr>
            <w:tcW w:w="274" w:type="pct"/>
            <w:vAlign w:val="center"/>
            <w:hideMark/>
          </w:tcPr>
          <w:p w14:paraId="512EEFC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9</w:t>
            </w:r>
          </w:p>
        </w:tc>
        <w:tc>
          <w:tcPr>
            <w:tcW w:w="665" w:type="pct"/>
            <w:vAlign w:val="center"/>
            <w:hideMark/>
          </w:tcPr>
          <w:p w14:paraId="10B269F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i/>
                <w:iCs/>
                <w:sz w:val="20"/>
                <w:szCs w:val="20"/>
              </w:rPr>
              <w:t xml:space="preserve">Lactobacillus </w:t>
            </w:r>
            <w:proofErr w:type="spellStart"/>
            <w:r w:rsidRPr="00375C89">
              <w:rPr>
                <w:rFonts w:ascii="Times New Roman" w:hAnsi="Times New Roman" w:cs="Times New Roman"/>
                <w:i/>
                <w:iCs/>
                <w:sz w:val="20"/>
                <w:szCs w:val="20"/>
              </w:rPr>
              <w:t>johnsonii</w:t>
            </w:r>
            <w:proofErr w:type="spellEnd"/>
            <w:r w:rsidRPr="00375C89">
              <w:rPr>
                <w:rFonts w:ascii="Times New Roman" w:hAnsi="Times New Roman" w:cs="Times New Roman"/>
                <w:sz w:val="20"/>
                <w:szCs w:val="20"/>
              </w:rPr>
              <w:t xml:space="preserve"> Protection</w:t>
            </w:r>
          </w:p>
        </w:tc>
        <w:tc>
          <w:tcPr>
            <w:tcW w:w="775" w:type="pct"/>
            <w:vAlign w:val="center"/>
            <w:hideMark/>
          </w:tcPr>
          <w:p w14:paraId="2797B7B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Immune cell &amp; mouse models</w:t>
            </w:r>
          </w:p>
        </w:tc>
        <w:tc>
          <w:tcPr>
            <w:tcW w:w="658" w:type="pct"/>
            <w:vAlign w:val="center"/>
            <w:hideMark/>
          </w:tcPr>
          <w:p w14:paraId="026FCDE9"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Protective Lactobacillus dominance</w:t>
            </w:r>
          </w:p>
        </w:tc>
        <w:tc>
          <w:tcPr>
            <w:tcW w:w="814" w:type="pct"/>
            <w:vAlign w:val="center"/>
            <w:hideMark/>
          </w:tcPr>
          <w:p w14:paraId="163B22B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TLR1/2 → STAT3 → M2 macrophage polarization</w:t>
            </w:r>
          </w:p>
        </w:tc>
        <w:tc>
          <w:tcPr>
            <w:tcW w:w="620" w:type="pct"/>
            <w:vAlign w:val="center"/>
            <w:hideMark/>
          </w:tcPr>
          <w:p w14:paraId="75B05DE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IL-10 production; immune tolerance</w:t>
            </w:r>
          </w:p>
        </w:tc>
        <w:tc>
          <w:tcPr>
            <w:tcW w:w="775" w:type="pct"/>
            <w:vAlign w:val="center"/>
            <w:hideMark/>
          </w:tcPr>
          <w:p w14:paraId="0A0ECB4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Molecular basis of probiotic-mediated protection</w:t>
            </w:r>
          </w:p>
        </w:tc>
        <w:tc>
          <w:tcPr>
            <w:tcW w:w="420" w:type="pct"/>
            <w:vAlign w:val="center"/>
          </w:tcPr>
          <w:p w14:paraId="4F5F3BCB" w14:textId="014057C3" w:rsidR="000F0B7F" w:rsidRPr="00375C89" w:rsidRDefault="00E4487A" w:rsidP="00BF5176">
            <w:pPr>
              <w:jc w:val="center"/>
              <w:rPr>
                <w:rFonts w:ascii="Times New Roman" w:hAnsi="Times New Roman" w:cs="Times New Roman"/>
                <w:sz w:val="20"/>
                <w:szCs w:val="20"/>
              </w:rPr>
            </w:pPr>
            <w:r w:rsidRPr="00375C89">
              <w:rPr>
                <w:rFonts w:ascii="Times New Roman" w:hAnsi="Times New Roman" w:cs="Times New Roman"/>
                <w:sz w:val="20"/>
                <w:szCs w:val="20"/>
              </w:rPr>
              <w:t>Jia</w:t>
            </w:r>
            <w:r w:rsidR="00146F8A" w:rsidRPr="00375C89">
              <w:rPr>
                <w:rFonts w:ascii="Times New Roman" w:hAnsi="Times New Roman" w:cs="Times New Roman"/>
                <w:sz w:val="20"/>
                <w:szCs w:val="20"/>
              </w:rPr>
              <w:t xml:space="preserve"> et al. 20</w:t>
            </w:r>
            <w:r w:rsidRPr="00375C89">
              <w:rPr>
                <w:rFonts w:ascii="Times New Roman" w:hAnsi="Times New Roman" w:cs="Times New Roman"/>
                <w:sz w:val="20"/>
                <w:szCs w:val="20"/>
              </w:rPr>
              <w:t>22</w:t>
            </w:r>
          </w:p>
        </w:tc>
      </w:tr>
      <w:tr w:rsidR="000F0B7F" w:rsidRPr="00375C89" w14:paraId="1E1C2011" w14:textId="1385AF58" w:rsidTr="00FB3372">
        <w:tc>
          <w:tcPr>
            <w:tcW w:w="274" w:type="pct"/>
            <w:vAlign w:val="center"/>
            <w:hideMark/>
          </w:tcPr>
          <w:p w14:paraId="2A15EA82"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10</w:t>
            </w:r>
          </w:p>
        </w:tc>
        <w:tc>
          <w:tcPr>
            <w:tcW w:w="665" w:type="pct"/>
            <w:vAlign w:val="center"/>
            <w:hideMark/>
          </w:tcPr>
          <w:p w14:paraId="25D23B7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i/>
                <w:iCs/>
                <w:sz w:val="20"/>
                <w:szCs w:val="20"/>
              </w:rPr>
              <w:t>Lactobacillus plantarum</w:t>
            </w:r>
            <w:r w:rsidRPr="00375C89">
              <w:rPr>
                <w:rFonts w:ascii="Times New Roman" w:hAnsi="Times New Roman" w:cs="Times New Roman"/>
                <w:sz w:val="20"/>
                <w:szCs w:val="20"/>
              </w:rPr>
              <w:t xml:space="preserve"> Immune Activation</w:t>
            </w:r>
          </w:p>
        </w:tc>
        <w:tc>
          <w:tcPr>
            <w:tcW w:w="775" w:type="pct"/>
            <w:vAlign w:val="center"/>
            <w:hideMark/>
          </w:tcPr>
          <w:p w14:paraId="0D412871"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Early immune response models</w:t>
            </w:r>
          </w:p>
        </w:tc>
        <w:tc>
          <w:tcPr>
            <w:tcW w:w="658" w:type="pct"/>
            <w:vAlign w:val="center"/>
            <w:hideMark/>
          </w:tcPr>
          <w:p w14:paraId="17B93E76" w14:textId="16994C4D"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Context-dependent probiotic </w:t>
            </w:r>
            <w:r w:rsidR="00602A2C" w:rsidRPr="00375C89">
              <w:rPr>
                <w:rFonts w:ascii="Times New Roman" w:hAnsi="Times New Roman" w:cs="Times New Roman"/>
                <w:sz w:val="20"/>
                <w:szCs w:val="20"/>
              </w:rPr>
              <w:t>signalling</w:t>
            </w:r>
          </w:p>
        </w:tc>
        <w:tc>
          <w:tcPr>
            <w:tcW w:w="814" w:type="pct"/>
            <w:vAlign w:val="center"/>
            <w:hideMark/>
          </w:tcPr>
          <w:p w14:paraId="389DEC51"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JAK-STAT, NF-</w:t>
            </w:r>
            <w:proofErr w:type="spellStart"/>
            <w:r w:rsidRPr="00375C89">
              <w:rPr>
                <w:rFonts w:ascii="Times New Roman" w:hAnsi="Times New Roman" w:cs="Times New Roman"/>
                <w:sz w:val="20"/>
                <w:szCs w:val="20"/>
              </w:rPr>
              <w:t>κB</w:t>
            </w:r>
            <w:proofErr w:type="spellEnd"/>
            <w:r w:rsidRPr="00375C89">
              <w:rPr>
                <w:rFonts w:ascii="Times New Roman" w:hAnsi="Times New Roman" w:cs="Times New Roman"/>
                <w:sz w:val="20"/>
                <w:szCs w:val="20"/>
              </w:rPr>
              <w:t xml:space="preserve"> → transient M1 polarization</w:t>
            </w:r>
          </w:p>
        </w:tc>
        <w:tc>
          <w:tcPr>
            <w:tcW w:w="620" w:type="pct"/>
            <w:vAlign w:val="center"/>
            <w:hideMark/>
          </w:tcPr>
          <w:p w14:paraId="1D7FA2CA" w14:textId="5AC018EE"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Enhanced early pathogen </w:t>
            </w:r>
            <w:r w:rsidR="00602A2C" w:rsidRPr="00375C89">
              <w:rPr>
                <w:rFonts w:ascii="Times New Roman" w:hAnsi="Times New Roman" w:cs="Times New Roman"/>
                <w:sz w:val="20"/>
                <w:szCs w:val="20"/>
              </w:rPr>
              <w:t>defence</w:t>
            </w:r>
          </w:p>
        </w:tc>
        <w:tc>
          <w:tcPr>
            <w:tcW w:w="775" w:type="pct"/>
            <w:vAlign w:val="center"/>
            <w:hideMark/>
          </w:tcPr>
          <w:p w14:paraId="4494DE2C"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Strain-specific probiotic immune effects</w:t>
            </w:r>
          </w:p>
        </w:tc>
        <w:tc>
          <w:tcPr>
            <w:tcW w:w="420" w:type="pct"/>
            <w:vAlign w:val="center"/>
          </w:tcPr>
          <w:p w14:paraId="0AA47938" w14:textId="1C73904F" w:rsidR="000F0B7F" w:rsidRPr="00375C89" w:rsidRDefault="005400E4" w:rsidP="00BF5176">
            <w:pPr>
              <w:jc w:val="center"/>
              <w:rPr>
                <w:rFonts w:ascii="Times New Roman" w:hAnsi="Times New Roman" w:cs="Times New Roman"/>
                <w:sz w:val="20"/>
                <w:szCs w:val="20"/>
              </w:rPr>
            </w:pPr>
            <w:r w:rsidRPr="00375C89">
              <w:rPr>
                <w:rFonts w:ascii="Times New Roman" w:hAnsi="Times New Roman" w:cs="Times New Roman"/>
                <w:sz w:val="20"/>
                <w:szCs w:val="20"/>
              </w:rPr>
              <w:t xml:space="preserve">Duan </w:t>
            </w:r>
            <w:r w:rsidR="00146F8A" w:rsidRPr="00375C89">
              <w:rPr>
                <w:rFonts w:ascii="Times New Roman" w:hAnsi="Times New Roman" w:cs="Times New Roman"/>
                <w:sz w:val="20"/>
                <w:szCs w:val="20"/>
              </w:rPr>
              <w:t>et al. 20</w:t>
            </w:r>
            <w:r w:rsidRPr="00375C89">
              <w:rPr>
                <w:rFonts w:ascii="Times New Roman" w:hAnsi="Times New Roman" w:cs="Times New Roman"/>
                <w:sz w:val="20"/>
                <w:szCs w:val="20"/>
              </w:rPr>
              <w:t>22</w:t>
            </w:r>
          </w:p>
        </w:tc>
      </w:tr>
      <w:tr w:rsidR="000F0B7F" w:rsidRPr="00375C89" w14:paraId="6C57349F" w14:textId="62CB204D" w:rsidTr="00FB3372">
        <w:tc>
          <w:tcPr>
            <w:tcW w:w="274" w:type="pct"/>
            <w:vAlign w:val="center"/>
            <w:hideMark/>
          </w:tcPr>
          <w:p w14:paraId="3806FD19"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11</w:t>
            </w:r>
          </w:p>
        </w:tc>
        <w:tc>
          <w:tcPr>
            <w:tcW w:w="665" w:type="pct"/>
            <w:vAlign w:val="center"/>
            <w:hideMark/>
          </w:tcPr>
          <w:p w14:paraId="7F28888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Estrobolome Dysfunction</w:t>
            </w:r>
          </w:p>
        </w:tc>
        <w:tc>
          <w:tcPr>
            <w:tcW w:w="775" w:type="pct"/>
            <w:vAlign w:val="center"/>
            <w:hideMark/>
          </w:tcPr>
          <w:p w14:paraId="510A010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Dysbiotic &amp; germ-free mice</w:t>
            </w:r>
          </w:p>
        </w:tc>
        <w:tc>
          <w:tcPr>
            <w:tcW w:w="658" w:type="pct"/>
            <w:vAlign w:val="center"/>
            <w:hideMark/>
          </w:tcPr>
          <w:p w14:paraId="07D631B4"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β-glucuronidase activity</w:t>
            </w:r>
          </w:p>
        </w:tc>
        <w:tc>
          <w:tcPr>
            <w:tcW w:w="814" w:type="pct"/>
            <w:vAlign w:val="center"/>
            <w:hideMark/>
          </w:tcPr>
          <w:p w14:paraId="3F3D76CB" w14:textId="08C1416F"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Impaired </w:t>
            </w:r>
            <w:proofErr w:type="spellStart"/>
            <w:r w:rsidRPr="00375C89">
              <w:rPr>
                <w:rFonts w:ascii="Times New Roman" w:hAnsi="Times New Roman" w:cs="Times New Roman"/>
                <w:sz w:val="20"/>
                <w:szCs w:val="20"/>
              </w:rPr>
              <w:t>estrogen</w:t>
            </w:r>
            <w:proofErr w:type="spellEnd"/>
            <w:r w:rsidRPr="00375C89">
              <w:rPr>
                <w:rFonts w:ascii="Times New Roman" w:hAnsi="Times New Roman" w:cs="Times New Roman"/>
                <w:sz w:val="20"/>
                <w:szCs w:val="20"/>
              </w:rPr>
              <w:t xml:space="preserve"> </w:t>
            </w:r>
            <w:proofErr w:type="spellStart"/>
            <w:r w:rsidRPr="00375C89">
              <w:rPr>
                <w:rFonts w:ascii="Times New Roman" w:hAnsi="Times New Roman" w:cs="Times New Roman"/>
                <w:sz w:val="20"/>
                <w:szCs w:val="20"/>
              </w:rPr>
              <w:t>deconjug</w:t>
            </w:r>
            <w:r w:rsidR="00602A2C" w:rsidRPr="00375C89">
              <w:rPr>
                <w:rFonts w:ascii="Times New Roman" w:hAnsi="Times New Roman" w:cs="Times New Roman"/>
                <w:sz w:val="20"/>
                <w:szCs w:val="20"/>
              </w:rPr>
              <w:t>-</w:t>
            </w:r>
            <w:r w:rsidRPr="00375C89">
              <w:rPr>
                <w:rFonts w:ascii="Times New Roman" w:hAnsi="Times New Roman" w:cs="Times New Roman"/>
                <w:sz w:val="20"/>
                <w:szCs w:val="20"/>
              </w:rPr>
              <w:t>ation</w:t>
            </w:r>
            <w:proofErr w:type="spellEnd"/>
            <w:r w:rsidRPr="00375C89">
              <w:rPr>
                <w:rFonts w:ascii="Times New Roman" w:hAnsi="Times New Roman" w:cs="Times New Roman"/>
                <w:sz w:val="20"/>
                <w:szCs w:val="20"/>
              </w:rPr>
              <w:t xml:space="preserve"> &amp; reabsorption</w:t>
            </w:r>
          </w:p>
        </w:tc>
        <w:tc>
          <w:tcPr>
            <w:tcW w:w="620" w:type="pct"/>
            <w:vAlign w:val="center"/>
            <w:hideMark/>
          </w:tcPr>
          <w:p w14:paraId="340330A0"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Reduced circulating estradiol; infertility</w:t>
            </w:r>
          </w:p>
        </w:tc>
        <w:tc>
          <w:tcPr>
            <w:tcW w:w="775" w:type="pct"/>
            <w:vAlign w:val="center"/>
            <w:hideMark/>
          </w:tcPr>
          <w:p w14:paraId="796D2CA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Microbial control of estrogen homeostasis</w:t>
            </w:r>
          </w:p>
        </w:tc>
        <w:tc>
          <w:tcPr>
            <w:tcW w:w="420" w:type="pct"/>
            <w:vAlign w:val="center"/>
          </w:tcPr>
          <w:p w14:paraId="25A30457" w14:textId="32E146DB" w:rsidR="000F0B7F" w:rsidRPr="00375C89" w:rsidRDefault="005400E4" w:rsidP="00BF5176">
            <w:pPr>
              <w:jc w:val="center"/>
              <w:rPr>
                <w:rFonts w:ascii="Times New Roman" w:hAnsi="Times New Roman" w:cs="Times New Roman"/>
                <w:sz w:val="20"/>
                <w:szCs w:val="20"/>
              </w:rPr>
            </w:pPr>
            <w:r w:rsidRPr="00375C89">
              <w:rPr>
                <w:rFonts w:ascii="Times New Roman" w:hAnsi="Times New Roman" w:cs="Times New Roman"/>
                <w:sz w:val="20"/>
                <w:szCs w:val="20"/>
              </w:rPr>
              <w:t>Escorcia et</w:t>
            </w:r>
            <w:r w:rsidR="00FD6599" w:rsidRPr="00375C89">
              <w:rPr>
                <w:rFonts w:ascii="Times New Roman" w:hAnsi="Times New Roman" w:cs="Times New Roman"/>
                <w:sz w:val="20"/>
                <w:szCs w:val="20"/>
              </w:rPr>
              <w:t xml:space="preserve"> </w:t>
            </w:r>
            <w:r w:rsidRPr="00375C89">
              <w:rPr>
                <w:rFonts w:ascii="Times New Roman" w:hAnsi="Times New Roman" w:cs="Times New Roman"/>
                <w:sz w:val="20"/>
                <w:szCs w:val="20"/>
              </w:rPr>
              <w:t xml:space="preserve">al. </w:t>
            </w:r>
            <w:r w:rsidR="00146F8A" w:rsidRPr="00375C89">
              <w:rPr>
                <w:rFonts w:ascii="Times New Roman" w:hAnsi="Times New Roman" w:cs="Times New Roman"/>
                <w:sz w:val="20"/>
                <w:szCs w:val="20"/>
              </w:rPr>
              <w:t>20</w:t>
            </w:r>
            <w:r w:rsidRPr="00375C89">
              <w:rPr>
                <w:rFonts w:ascii="Times New Roman" w:hAnsi="Times New Roman" w:cs="Times New Roman"/>
                <w:sz w:val="20"/>
                <w:szCs w:val="20"/>
              </w:rPr>
              <w:t>25</w:t>
            </w:r>
          </w:p>
        </w:tc>
      </w:tr>
      <w:tr w:rsidR="000F0B7F" w:rsidRPr="00375C89" w14:paraId="72D21160" w14:textId="79EA3353" w:rsidTr="00FB3372">
        <w:tc>
          <w:tcPr>
            <w:tcW w:w="274" w:type="pct"/>
            <w:vAlign w:val="center"/>
            <w:hideMark/>
          </w:tcPr>
          <w:p w14:paraId="688AA0E2"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12</w:t>
            </w:r>
          </w:p>
        </w:tc>
        <w:tc>
          <w:tcPr>
            <w:tcW w:w="665" w:type="pct"/>
            <w:vAlign w:val="center"/>
            <w:hideMark/>
          </w:tcPr>
          <w:p w14:paraId="294AF850"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Endometriosis Dysbiosis Model</w:t>
            </w:r>
          </w:p>
        </w:tc>
        <w:tc>
          <w:tcPr>
            <w:tcW w:w="775" w:type="pct"/>
            <w:vAlign w:val="center"/>
            <w:hideMark/>
          </w:tcPr>
          <w:p w14:paraId="3C24D25B"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Endometriosis-induced mice</w:t>
            </w:r>
          </w:p>
        </w:tc>
        <w:tc>
          <w:tcPr>
            <w:tcW w:w="658" w:type="pct"/>
            <w:vAlign w:val="center"/>
            <w:hideMark/>
          </w:tcPr>
          <w:p w14:paraId="6BA6B6DC" w14:textId="48C5FF0F"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SCFA producers</w:t>
            </w:r>
          </w:p>
        </w:tc>
        <w:tc>
          <w:tcPr>
            <w:tcW w:w="814" w:type="pct"/>
            <w:vAlign w:val="center"/>
            <w:hideMark/>
          </w:tcPr>
          <w:p w14:paraId="75C212E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 xml:space="preserve">SCFA depletion; immune metabolic </w:t>
            </w:r>
            <w:r w:rsidRPr="00375C89">
              <w:rPr>
                <w:rFonts w:ascii="Times New Roman" w:hAnsi="Times New Roman" w:cs="Times New Roman"/>
                <w:sz w:val="20"/>
                <w:szCs w:val="20"/>
              </w:rPr>
              <w:lastRenderedPageBreak/>
              <w:t>hyperactivation</w:t>
            </w:r>
          </w:p>
        </w:tc>
        <w:tc>
          <w:tcPr>
            <w:tcW w:w="620" w:type="pct"/>
            <w:vAlign w:val="center"/>
            <w:hideMark/>
          </w:tcPr>
          <w:p w14:paraId="315C00DC"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lastRenderedPageBreak/>
              <w:t>Chronic inflammation; lesion persistence</w:t>
            </w:r>
          </w:p>
        </w:tc>
        <w:tc>
          <w:tcPr>
            <w:tcW w:w="775" w:type="pct"/>
            <w:vAlign w:val="center"/>
            <w:hideMark/>
          </w:tcPr>
          <w:p w14:paraId="3199C2C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Metabolic–immune coupling in estrogen-</w:t>
            </w:r>
            <w:r w:rsidRPr="00375C89">
              <w:rPr>
                <w:rFonts w:ascii="Times New Roman" w:hAnsi="Times New Roman" w:cs="Times New Roman"/>
                <w:sz w:val="20"/>
                <w:szCs w:val="20"/>
              </w:rPr>
              <w:lastRenderedPageBreak/>
              <w:t>driven disease</w:t>
            </w:r>
          </w:p>
        </w:tc>
        <w:tc>
          <w:tcPr>
            <w:tcW w:w="420" w:type="pct"/>
            <w:vAlign w:val="center"/>
          </w:tcPr>
          <w:p w14:paraId="28C0006C" w14:textId="0767FCAB" w:rsidR="000F0B7F" w:rsidRPr="00375C89" w:rsidRDefault="00A66FA8" w:rsidP="00BF5176">
            <w:pPr>
              <w:jc w:val="center"/>
              <w:rPr>
                <w:rFonts w:ascii="Times New Roman" w:hAnsi="Times New Roman" w:cs="Times New Roman"/>
                <w:sz w:val="20"/>
                <w:szCs w:val="20"/>
              </w:rPr>
            </w:pPr>
            <w:proofErr w:type="spellStart"/>
            <w:r w:rsidRPr="00375C89">
              <w:rPr>
                <w:rFonts w:ascii="Times New Roman" w:hAnsi="Times New Roman" w:cs="Times New Roman"/>
                <w:sz w:val="20"/>
                <w:szCs w:val="20"/>
              </w:rPr>
              <w:lastRenderedPageBreak/>
              <w:t>Chadchan</w:t>
            </w:r>
            <w:proofErr w:type="spellEnd"/>
            <w:r w:rsidRPr="00375C89">
              <w:rPr>
                <w:rFonts w:ascii="Times New Roman" w:hAnsi="Times New Roman" w:cs="Times New Roman"/>
                <w:sz w:val="20"/>
                <w:szCs w:val="20"/>
              </w:rPr>
              <w:t xml:space="preserve"> </w:t>
            </w:r>
            <w:r w:rsidR="00146F8A" w:rsidRPr="00375C89">
              <w:rPr>
                <w:rFonts w:ascii="Times New Roman" w:hAnsi="Times New Roman" w:cs="Times New Roman"/>
                <w:sz w:val="20"/>
                <w:szCs w:val="20"/>
              </w:rPr>
              <w:t xml:space="preserve">et al. </w:t>
            </w:r>
            <w:r w:rsidRPr="00375C89">
              <w:rPr>
                <w:rFonts w:ascii="Times New Roman" w:hAnsi="Times New Roman" w:cs="Times New Roman"/>
                <w:sz w:val="20"/>
                <w:szCs w:val="20"/>
              </w:rPr>
              <w:t>2021</w:t>
            </w:r>
          </w:p>
        </w:tc>
      </w:tr>
      <w:tr w:rsidR="000F0B7F" w:rsidRPr="00375C89" w14:paraId="41CAA43D" w14:textId="68DD0014" w:rsidTr="00FB3372">
        <w:tc>
          <w:tcPr>
            <w:tcW w:w="274" w:type="pct"/>
            <w:vAlign w:val="center"/>
            <w:hideMark/>
          </w:tcPr>
          <w:p w14:paraId="7FF17BD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13</w:t>
            </w:r>
          </w:p>
        </w:tc>
        <w:tc>
          <w:tcPr>
            <w:tcW w:w="665" w:type="pct"/>
            <w:vAlign w:val="center"/>
            <w:hideMark/>
          </w:tcPr>
          <w:p w14:paraId="6E2903E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Acute LPS Exposure</w:t>
            </w:r>
          </w:p>
        </w:tc>
        <w:tc>
          <w:tcPr>
            <w:tcW w:w="775" w:type="pct"/>
            <w:vAlign w:val="center"/>
            <w:hideMark/>
          </w:tcPr>
          <w:p w14:paraId="3688A20B"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IV LPS-injected mice</w:t>
            </w:r>
          </w:p>
        </w:tc>
        <w:tc>
          <w:tcPr>
            <w:tcW w:w="658" w:type="pct"/>
            <w:vAlign w:val="center"/>
            <w:hideMark/>
          </w:tcPr>
          <w:p w14:paraId="32BD5F15"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Opportunistic pathogen blooms</w:t>
            </w:r>
          </w:p>
        </w:tc>
        <w:tc>
          <w:tcPr>
            <w:tcW w:w="814" w:type="pct"/>
            <w:vAlign w:val="center"/>
            <w:hideMark/>
          </w:tcPr>
          <w:p w14:paraId="25F56F5D"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TLR4-dependent loss of colonization resistance</w:t>
            </w:r>
          </w:p>
        </w:tc>
        <w:tc>
          <w:tcPr>
            <w:tcW w:w="620" w:type="pct"/>
            <w:vAlign w:val="center"/>
            <w:hideMark/>
          </w:tcPr>
          <w:p w14:paraId="53BE083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Pathogen expansion without colitis</w:t>
            </w:r>
          </w:p>
        </w:tc>
        <w:tc>
          <w:tcPr>
            <w:tcW w:w="775" w:type="pct"/>
            <w:vAlign w:val="center"/>
            <w:hideMark/>
          </w:tcPr>
          <w:p w14:paraId="3C4F1AF9"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Explains infection risk during systemic inflammation</w:t>
            </w:r>
          </w:p>
        </w:tc>
        <w:tc>
          <w:tcPr>
            <w:tcW w:w="420" w:type="pct"/>
            <w:vAlign w:val="center"/>
          </w:tcPr>
          <w:p w14:paraId="0158FF19" w14:textId="3B54D153" w:rsidR="000F0B7F" w:rsidRPr="00375C89" w:rsidRDefault="00A66FA8" w:rsidP="00BF5176">
            <w:pPr>
              <w:jc w:val="center"/>
              <w:rPr>
                <w:rFonts w:ascii="Times New Roman" w:hAnsi="Times New Roman" w:cs="Times New Roman"/>
                <w:sz w:val="20"/>
                <w:szCs w:val="20"/>
              </w:rPr>
            </w:pPr>
            <w:r w:rsidRPr="00375C89">
              <w:rPr>
                <w:rFonts w:ascii="Times New Roman" w:hAnsi="Times New Roman" w:cs="Times New Roman"/>
                <w:sz w:val="20"/>
                <w:szCs w:val="20"/>
                <w:lang w:val="de-CH"/>
              </w:rPr>
              <w:t>Kroon</w:t>
            </w:r>
            <w:r w:rsidR="00146F8A" w:rsidRPr="00375C89">
              <w:rPr>
                <w:rFonts w:ascii="Times New Roman" w:hAnsi="Times New Roman" w:cs="Times New Roman"/>
                <w:sz w:val="20"/>
                <w:szCs w:val="20"/>
              </w:rPr>
              <w:t xml:space="preserve"> et al. 20</w:t>
            </w:r>
            <w:r w:rsidRPr="00375C89">
              <w:rPr>
                <w:rFonts w:ascii="Times New Roman" w:hAnsi="Times New Roman" w:cs="Times New Roman"/>
                <w:sz w:val="20"/>
                <w:szCs w:val="20"/>
              </w:rPr>
              <w:t>25</w:t>
            </w:r>
          </w:p>
        </w:tc>
      </w:tr>
      <w:tr w:rsidR="000F0B7F" w:rsidRPr="00375C89" w14:paraId="4C7D862A" w14:textId="120291D7" w:rsidTr="00FB3372">
        <w:tc>
          <w:tcPr>
            <w:tcW w:w="274" w:type="pct"/>
            <w:vAlign w:val="center"/>
            <w:hideMark/>
          </w:tcPr>
          <w:p w14:paraId="347A7A59"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16</w:t>
            </w:r>
          </w:p>
        </w:tc>
        <w:tc>
          <w:tcPr>
            <w:tcW w:w="665" w:type="pct"/>
            <w:vAlign w:val="center"/>
            <w:hideMark/>
          </w:tcPr>
          <w:p w14:paraId="59B466D2"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i/>
                <w:iCs/>
                <w:sz w:val="20"/>
                <w:szCs w:val="20"/>
              </w:rPr>
              <w:t>Chlamydia trachomatis</w:t>
            </w:r>
            <w:r w:rsidRPr="00375C89">
              <w:rPr>
                <w:rFonts w:ascii="Times New Roman" w:hAnsi="Times New Roman" w:cs="Times New Roman"/>
                <w:sz w:val="20"/>
                <w:szCs w:val="20"/>
              </w:rPr>
              <w:t xml:space="preserve"> Ascension</w:t>
            </w:r>
          </w:p>
        </w:tc>
        <w:tc>
          <w:tcPr>
            <w:tcW w:w="775" w:type="pct"/>
            <w:vAlign w:val="center"/>
            <w:hideMark/>
          </w:tcPr>
          <w:p w14:paraId="78D972DB"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Intravaginal infection in mice</w:t>
            </w:r>
          </w:p>
        </w:tc>
        <w:tc>
          <w:tcPr>
            <w:tcW w:w="658" w:type="pct"/>
            <w:vAlign w:val="center"/>
            <w:hideMark/>
          </w:tcPr>
          <w:p w14:paraId="49184354"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Immune competence-dependent outcomes</w:t>
            </w:r>
          </w:p>
        </w:tc>
        <w:tc>
          <w:tcPr>
            <w:tcW w:w="814" w:type="pct"/>
            <w:vAlign w:val="center"/>
            <w:hideMark/>
          </w:tcPr>
          <w:p w14:paraId="42DBCC7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APC recruitment; tissue-level immune resolution</w:t>
            </w:r>
          </w:p>
        </w:tc>
        <w:tc>
          <w:tcPr>
            <w:tcW w:w="620" w:type="pct"/>
            <w:vAlign w:val="center"/>
            <w:hideMark/>
          </w:tcPr>
          <w:p w14:paraId="053F36F1"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Clearance or chronic PID</w:t>
            </w:r>
          </w:p>
        </w:tc>
        <w:tc>
          <w:tcPr>
            <w:tcW w:w="775" w:type="pct"/>
            <w:vAlign w:val="center"/>
            <w:hideMark/>
          </w:tcPr>
          <w:p w14:paraId="652B62E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Dysbiosis + immune defects permit ascension</w:t>
            </w:r>
          </w:p>
        </w:tc>
        <w:tc>
          <w:tcPr>
            <w:tcW w:w="420" w:type="pct"/>
            <w:vAlign w:val="center"/>
          </w:tcPr>
          <w:p w14:paraId="07A1A938" w14:textId="3FEF2AE4" w:rsidR="000F0B7F" w:rsidRPr="00375C89" w:rsidRDefault="00A66FA8" w:rsidP="00BF5176">
            <w:pPr>
              <w:jc w:val="center"/>
              <w:rPr>
                <w:rFonts w:ascii="Times New Roman" w:hAnsi="Times New Roman" w:cs="Times New Roman"/>
                <w:sz w:val="20"/>
                <w:szCs w:val="20"/>
              </w:rPr>
            </w:pPr>
            <w:r w:rsidRPr="00375C89">
              <w:rPr>
                <w:rFonts w:ascii="Times New Roman" w:hAnsi="Times New Roman" w:cs="Times New Roman"/>
                <w:sz w:val="20"/>
                <w:szCs w:val="20"/>
              </w:rPr>
              <w:t xml:space="preserve">Stagg </w:t>
            </w:r>
            <w:r w:rsidR="00146F8A" w:rsidRPr="00375C89">
              <w:rPr>
                <w:rFonts w:ascii="Times New Roman" w:hAnsi="Times New Roman" w:cs="Times New Roman"/>
                <w:sz w:val="20"/>
                <w:szCs w:val="20"/>
              </w:rPr>
              <w:t xml:space="preserve">et al. </w:t>
            </w:r>
            <w:r w:rsidRPr="00375C89">
              <w:rPr>
                <w:rFonts w:ascii="Times New Roman" w:hAnsi="Times New Roman" w:cs="Times New Roman"/>
                <w:sz w:val="20"/>
                <w:szCs w:val="20"/>
              </w:rPr>
              <w:t>1988</w:t>
            </w:r>
          </w:p>
        </w:tc>
      </w:tr>
      <w:tr w:rsidR="000F0B7F" w:rsidRPr="00375C89" w14:paraId="4D562572" w14:textId="5FE58117" w:rsidTr="00FB3372">
        <w:tc>
          <w:tcPr>
            <w:tcW w:w="274" w:type="pct"/>
            <w:vAlign w:val="center"/>
            <w:hideMark/>
          </w:tcPr>
          <w:p w14:paraId="0690E216"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17</w:t>
            </w:r>
          </w:p>
        </w:tc>
        <w:tc>
          <w:tcPr>
            <w:tcW w:w="665" w:type="pct"/>
            <w:vAlign w:val="center"/>
            <w:hideMark/>
          </w:tcPr>
          <w:p w14:paraId="7F3E1DE3"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i/>
                <w:iCs/>
                <w:sz w:val="20"/>
                <w:szCs w:val="20"/>
              </w:rPr>
              <w:t>E. coli</w:t>
            </w:r>
            <w:r w:rsidRPr="00375C89">
              <w:rPr>
                <w:rFonts w:ascii="Times New Roman" w:hAnsi="Times New Roman" w:cs="Times New Roman"/>
                <w:sz w:val="20"/>
                <w:szCs w:val="20"/>
              </w:rPr>
              <w:t xml:space="preserve"> Ascending Infection</w:t>
            </w:r>
          </w:p>
        </w:tc>
        <w:tc>
          <w:tcPr>
            <w:tcW w:w="775" w:type="pct"/>
            <w:vAlign w:val="center"/>
            <w:hideMark/>
          </w:tcPr>
          <w:p w14:paraId="0D0D7AA4"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Pregnant mouse model</w:t>
            </w:r>
          </w:p>
        </w:tc>
        <w:tc>
          <w:tcPr>
            <w:tcW w:w="658" w:type="pct"/>
            <w:vAlign w:val="center"/>
            <w:hideMark/>
          </w:tcPr>
          <w:p w14:paraId="59268BB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Vaginal pathogen ascension</w:t>
            </w:r>
          </w:p>
        </w:tc>
        <w:tc>
          <w:tcPr>
            <w:tcW w:w="814" w:type="pct"/>
            <w:vAlign w:val="center"/>
            <w:hideMark/>
          </w:tcPr>
          <w:p w14:paraId="36CAD6C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Intrauterine infection &amp; inflammation</w:t>
            </w:r>
          </w:p>
        </w:tc>
        <w:tc>
          <w:tcPr>
            <w:tcW w:w="620" w:type="pct"/>
            <w:vAlign w:val="center"/>
            <w:hideMark/>
          </w:tcPr>
          <w:p w14:paraId="1E9E6E55"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Preterm birth; fetal neuroinflammation</w:t>
            </w:r>
          </w:p>
        </w:tc>
        <w:tc>
          <w:tcPr>
            <w:tcW w:w="775" w:type="pct"/>
            <w:vAlign w:val="center"/>
            <w:hideMark/>
          </w:tcPr>
          <w:p w14:paraId="3EFB64C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Direct model of dysbiosis-driven obstetric risk</w:t>
            </w:r>
          </w:p>
        </w:tc>
        <w:tc>
          <w:tcPr>
            <w:tcW w:w="420" w:type="pct"/>
            <w:vAlign w:val="center"/>
          </w:tcPr>
          <w:p w14:paraId="02962E98" w14:textId="554D44CB" w:rsidR="000F0B7F" w:rsidRPr="00375C89" w:rsidRDefault="00A66FA8" w:rsidP="00BF5176">
            <w:pPr>
              <w:jc w:val="center"/>
              <w:rPr>
                <w:rFonts w:ascii="Times New Roman" w:hAnsi="Times New Roman" w:cs="Times New Roman"/>
                <w:sz w:val="20"/>
                <w:szCs w:val="20"/>
              </w:rPr>
            </w:pPr>
            <w:r w:rsidRPr="00375C89">
              <w:rPr>
                <w:rFonts w:ascii="Times New Roman" w:hAnsi="Times New Roman" w:cs="Times New Roman"/>
                <w:sz w:val="20"/>
                <w:szCs w:val="20"/>
              </w:rPr>
              <w:t>Boyle</w:t>
            </w:r>
            <w:r w:rsidR="00146F8A" w:rsidRPr="00375C89">
              <w:rPr>
                <w:rFonts w:ascii="Times New Roman" w:hAnsi="Times New Roman" w:cs="Times New Roman"/>
                <w:sz w:val="20"/>
                <w:szCs w:val="20"/>
              </w:rPr>
              <w:t xml:space="preserve"> et al. 20</w:t>
            </w:r>
            <w:r w:rsidRPr="00375C89">
              <w:rPr>
                <w:rFonts w:ascii="Times New Roman" w:hAnsi="Times New Roman" w:cs="Times New Roman"/>
                <w:sz w:val="20"/>
                <w:szCs w:val="20"/>
              </w:rPr>
              <w:t>25</w:t>
            </w:r>
          </w:p>
        </w:tc>
      </w:tr>
      <w:tr w:rsidR="000F0B7F" w:rsidRPr="00375C89" w14:paraId="782CD407" w14:textId="56862B86" w:rsidTr="00FB3372">
        <w:trPr>
          <w:trHeight w:val="1231"/>
        </w:trPr>
        <w:tc>
          <w:tcPr>
            <w:tcW w:w="274" w:type="pct"/>
            <w:vAlign w:val="center"/>
            <w:hideMark/>
          </w:tcPr>
          <w:p w14:paraId="7CE7699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18</w:t>
            </w:r>
          </w:p>
        </w:tc>
        <w:tc>
          <w:tcPr>
            <w:tcW w:w="665" w:type="pct"/>
            <w:vAlign w:val="center"/>
            <w:hideMark/>
          </w:tcPr>
          <w:p w14:paraId="54CBBF1E"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Vaginal Microbiota Transplantation</w:t>
            </w:r>
          </w:p>
        </w:tc>
        <w:tc>
          <w:tcPr>
            <w:tcW w:w="775" w:type="pct"/>
            <w:vAlign w:val="center"/>
            <w:hideMark/>
          </w:tcPr>
          <w:p w14:paraId="276FD152"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Dysbiotic rats + healthy VMT</w:t>
            </w:r>
          </w:p>
        </w:tc>
        <w:tc>
          <w:tcPr>
            <w:tcW w:w="658" w:type="pct"/>
            <w:vAlign w:val="center"/>
            <w:hideMark/>
          </w:tcPr>
          <w:p w14:paraId="07BDEE17"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Lactobacillus restoration</w:t>
            </w:r>
          </w:p>
        </w:tc>
        <w:tc>
          <w:tcPr>
            <w:tcW w:w="814" w:type="pct"/>
            <w:vAlign w:val="center"/>
            <w:hideMark/>
          </w:tcPr>
          <w:p w14:paraId="1C639DC8"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Barrier repair; cytokine normalization</w:t>
            </w:r>
          </w:p>
        </w:tc>
        <w:tc>
          <w:tcPr>
            <w:tcW w:w="620" w:type="pct"/>
            <w:vAlign w:val="center"/>
            <w:hideMark/>
          </w:tcPr>
          <w:p w14:paraId="34A8C8B0"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Durable dysbiosis reversal</w:t>
            </w:r>
          </w:p>
        </w:tc>
        <w:tc>
          <w:tcPr>
            <w:tcW w:w="775" w:type="pct"/>
            <w:vAlign w:val="center"/>
            <w:hideMark/>
          </w:tcPr>
          <w:p w14:paraId="4A27E945" w14:textId="77777777" w:rsidR="000F0B7F" w:rsidRPr="00375C89" w:rsidRDefault="000F0B7F" w:rsidP="00BF5176">
            <w:pPr>
              <w:spacing w:after="200"/>
              <w:jc w:val="center"/>
              <w:rPr>
                <w:rFonts w:ascii="Times New Roman" w:hAnsi="Times New Roman" w:cs="Times New Roman"/>
                <w:sz w:val="20"/>
                <w:szCs w:val="20"/>
              </w:rPr>
            </w:pPr>
            <w:r w:rsidRPr="00375C89">
              <w:rPr>
                <w:rFonts w:ascii="Times New Roman" w:hAnsi="Times New Roman" w:cs="Times New Roman"/>
                <w:sz w:val="20"/>
                <w:szCs w:val="20"/>
              </w:rPr>
              <w:t>Feasibility of VMT as therapy</w:t>
            </w:r>
          </w:p>
        </w:tc>
        <w:tc>
          <w:tcPr>
            <w:tcW w:w="420" w:type="pct"/>
            <w:vAlign w:val="center"/>
          </w:tcPr>
          <w:p w14:paraId="74409742" w14:textId="50625FDF" w:rsidR="000F0B7F" w:rsidRPr="00375C89" w:rsidRDefault="00A66FA8" w:rsidP="00BF5176">
            <w:pPr>
              <w:jc w:val="center"/>
              <w:rPr>
                <w:rFonts w:ascii="Times New Roman" w:hAnsi="Times New Roman" w:cs="Times New Roman"/>
                <w:sz w:val="20"/>
                <w:szCs w:val="20"/>
              </w:rPr>
            </w:pPr>
            <w:r w:rsidRPr="00375C89">
              <w:rPr>
                <w:rFonts w:ascii="Times New Roman" w:hAnsi="Times New Roman" w:cs="Times New Roman"/>
                <w:sz w:val="20"/>
                <w:szCs w:val="20"/>
              </w:rPr>
              <w:t xml:space="preserve">Luo </w:t>
            </w:r>
            <w:r w:rsidR="00146F8A" w:rsidRPr="00375C89">
              <w:rPr>
                <w:rFonts w:ascii="Times New Roman" w:hAnsi="Times New Roman" w:cs="Times New Roman"/>
                <w:sz w:val="20"/>
                <w:szCs w:val="20"/>
              </w:rPr>
              <w:t>et al.</w:t>
            </w:r>
            <w:r w:rsidR="00FD6599" w:rsidRPr="00375C89">
              <w:rPr>
                <w:rFonts w:ascii="Times New Roman" w:hAnsi="Times New Roman" w:cs="Times New Roman"/>
                <w:sz w:val="20"/>
                <w:szCs w:val="20"/>
              </w:rPr>
              <w:t xml:space="preserve"> </w:t>
            </w:r>
            <w:r w:rsidR="00146F8A" w:rsidRPr="00375C89">
              <w:rPr>
                <w:rFonts w:ascii="Times New Roman" w:hAnsi="Times New Roman" w:cs="Times New Roman"/>
                <w:sz w:val="20"/>
                <w:szCs w:val="20"/>
              </w:rPr>
              <w:t>20</w:t>
            </w:r>
            <w:r w:rsidRPr="00375C89">
              <w:rPr>
                <w:rFonts w:ascii="Times New Roman" w:hAnsi="Times New Roman" w:cs="Times New Roman"/>
                <w:sz w:val="20"/>
                <w:szCs w:val="20"/>
              </w:rPr>
              <w:t>24</w:t>
            </w:r>
          </w:p>
        </w:tc>
      </w:tr>
    </w:tbl>
    <w:p w14:paraId="271C6462" w14:textId="77777777" w:rsidR="009723C5" w:rsidRDefault="009723C5" w:rsidP="00245EF0">
      <w:pPr>
        <w:spacing w:after="0" w:line="360" w:lineRule="auto"/>
        <w:rPr>
          <w:rFonts w:ascii="Times New Roman" w:hAnsi="Times New Roman" w:cs="Times New Roman"/>
          <w:bCs/>
          <w:sz w:val="24"/>
          <w:szCs w:val="24"/>
        </w:rPr>
      </w:pPr>
    </w:p>
    <w:p w14:paraId="0743BD60" w14:textId="77777777" w:rsidR="009723C5" w:rsidRDefault="009723C5" w:rsidP="00000E0E">
      <w:pPr>
        <w:spacing w:after="0" w:line="360" w:lineRule="auto"/>
        <w:ind w:left="360"/>
        <w:jc w:val="center"/>
        <w:rPr>
          <w:rFonts w:ascii="Times New Roman" w:hAnsi="Times New Roman" w:cs="Times New Roman"/>
          <w:bCs/>
          <w:sz w:val="24"/>
          <w:szCs w:val="24"/>
        </w:rPr>
      </w:pPr>
    </w:p>
    <w:p w14:paraId="0490C026" w14:textId="7D331089" w:rsidR="00190CEF" w:rsidRPr="00000E0E" w:rsidRDefault="00BE6667" w:rsidP="00000E0E">
      <w:pPr>
        <w:pStyle w:val="ListParagraph"/>
        <w:numPr>
          <w:ilvl w:val="0"/>
          <w:numId w:val="18"/>
        </w:numPr>
        <w:spacing w:after="0" w:line="360" w:lineRule="auto"/>
        <w:ind w:hanging="513"/>
        <w:jc w:val="center"/>
        <w:rPr>
          <w:rFonts w:ascii="Times New Roman" w:hAnsi="Times New Roman" w:cs="Times New Roman"/>
          <w:bCs/>
          <w:sz w:val="24"/>
          <w:szCs w:val="24"/>
        </w:rPr>
      </w:pPr>
      <w:r w:rsidRPr="00000E0E">
        <w:rPr>
          <w:rFonts w:ascii="Times New Roman" w:hAnsi="Times New Roman" w:cs="Times New Roman"/>
          <w:bCs/>
          <w:sz w:val="24"/>
          <w:szCs w:val="24"/>
        </w:rPr>
        <w:t>THERAPEUTIC FAILURE: WHY CURRENT TREATMENTS DO NOT RESTORE FUNCTIONAL HOMEOSTASIS</w:t>
      </w:r>
    </w:p>
    <w:p w14:paraId="0B426A74" w14:textId="27FEDC8B" w:rsidR="00964AF8" w:rsidRPr="00375C89" w:rsidRDefault="00645E71" w:rsidP="00645E71">
      <w:pPr>
        <w:pStyle w:val="ListParagraph"/>
        <w:spacing w:after="0" w:line="360" w:lineRule="auto"/>
        <w:ind w:left="0"/>
        <w:jc w:val="both"/>
        <w:rPr>
          <w:rFonts w:ascii="Times New Roman" w:hAnsi="Times New Roman" w:cs="Times New Roman"/>
          <w:bCs/>
          <w:sz w:val="24"/>
          <w:szCs w:val="24"/>
        </w:rPr>
      </w:pPr>
      <w:r w:rsidRPr="00375C89">
        <w:rPr>
          <w:rFonts w:ascii="Times New Roman" w:hAnsi="Times New Roman" w:cs="Times New Roman"/>
          <w:bCs/>
          <w:sz w:val="24"/>
          <w:szCs w:val="24"/>
        </w:rPr>
        <w:t xml:space="preserve">Although antibiotics, antifungals, and probiotics have been used for years, recurrences are frequent, indicating that current management strategies are unable to </w:t>
      </w:r>
      <w:r w:rsidR="00E377F3" w:rsidRPr="00375C89">
        <w:rPr>
          <w:rFonts w:ascii="Times New Roman" w:hAnsi="Times New Roman" w:cs="Times New Roman"/>
          <w:bCs/>
          <w:sz w:val="24"/>
          <w:szCs w:val="24"/>
        </w:rPr>
        <w:t>provide an alternative</w:t>
      </w:r>
      <w:r w:rsidRPr="00375C89">
        <w:rPr>
          <w:rFonts w:ascii="Times New Roman" w:hAnsi="Times New Roman" w:cs="Times New Roman"/>
          <w:bCs/>
          <w:sz w:val="24"/>
          <w:szCs w:val="24"/>
        </w:rPr>
        <w:t xml:space="preserve"> </w:t>
      </w:r>
      <w:r w:rsidR="00E377F3" w:rsidRPr="00375C89">
        <w:rPr>
          <w:rFonts w:ascii="Times New Roman" w:hAnsi="Times New Roman" w:cs="Times New Roman"/>
          <w:bCs/>
          <w:sz w:val="24"/>
          <w:szCs w:val="24"/>
        </w:rPr>
        <w:t xml:space="preserve">for </w:t>
      </w:r>
      <w:r w:rsidRPr="00375C89">
        <w:rPr>
          <w:rFonts w:ascii="Times New Roman" w:hAnsi="Times New Roman" w:cs="Times New Roman"/>
          <w:bCs/>
          <w:sz w:val="24"/>
          <w:szCs w:val="24"/>
        </w:rPr>
        <w:t>normal vaginal homeostasis. Standard approaches focus on microbial ecology and symptom alleviation rather than restoration of proper functioning of the vagina</w:t>
      </w:r>
      <w:r w:rsidR="005971E6" w:rsidRPr="00375C89">
        <w:rPr>
          <w:rFonts w:ascii="Times New Roman" w:hAnsi="Times New Roman" w:cs="Times New Roman"/>
          <w:bCs/>
          <w:sz w:val="24"/>
          <w:szCs w:val="24"/>
        </w:rPr>
        <w:t xml:space="preserve"> (</w:t>
      </w:r>
      <w:r w:rsidR="005971E6" w:rsidRPr="00375C89">
        <w:rPr>
          <w:rFonts w:ascii="Times New Roman" w:hAnsi="Times New Roman" w:cs="Times New Roman"/>
          <w:sz w:val="24"/>
          <w:szCs w:val="24"/>
        </w:rPr>
        <w:t>Machado et al. 2016)</w:t>
      </w:r>
      <w:r w:rsidRPr="00375C89">
        <w:rPr>
          <w:rFonts w:ascii="Times New Roman" w:hAnsi="Times New Roman" w:cs="Times New Roman"/>
          <w:bCs/>
          <w:sz w:val="24"/>
          <w:szCs w:val="24"/>
        </w:rPr>
        <w:t xml:space="preserve">. However, an important drawback involves the survival of polymicrobial biofilm communities, especially </w:t>
      </w:r>
      <w:r w:rsidRPr="00375C89">
        <w:rPr>
          <w:rFonts w:ascii="Times New Roman" w:hAnsi="Times New Roman" w:cs="Times New Roman"/>
          <w:bCs/>
          <w:i/>
          <w:sz w:val="24"/>
          <w:szCs w:val="24"/>
        </w:rPr>
        <w:t>G. vaginalis</w:t>
      </w:r>
      <w:r w:rsidRPr="00375C89">
        <w:rPr>
          <w:rFonts w:ascii="Times New Roman" w:hAnsi="Times New Roman" w:cs="Times New Roman"/>
          <w:bCs/>
          <w:sz w:val="24"/>
          <w:szCs w:val="24"/>
        </w:rPr>
        <w:t xml:space="preserve"> biofilm. Such biofilm formation protects dysbiotic bacteria from antibiotics and immune destruction. Further, recolonization following treatment is often characterized by the presence of </w:t>
      </w:r>
      <w:r w:rsidRPr="00375C89">
        <w:rPr>
          <w:rFonts w:ascii="Times New Roman" w:hAnsi="Times New Roman" w:cs="Times New Roman"/>
          <w:bCs/>
          <w:i/>
          <w:sz w:val="24"/>
          <w:szCs w:val="24"/>
        </w:rPr>
        <w:t>Lactobacillus iners</w:t>
      </w:r>
      <w:r w:rsidRPr="00375C89">
        <w:rPr>
          <w:rFonts w:ascii="Times New Roman" w:hAnsi="Times New Roman" w:cs="Times New Roman"/>
          <w:bCs/>
          <w:sz w:val="24"/>
          <w:szCs w:val="24"/>
        </w:rPr>
        <w:t>, which is not stable and is related to recurrent dysbiosis, rather than sustained eubiosis</w:t>
      </w:r>
      <w:r w:rsidR="005971E6" w:rsidRPr="00375C89">
        <w:rPr>
          <w:rFonts w:ascii="Times New Roman" w:hAnsi="Times New Roman" w:cs="Times New Roman"/>
          <w:bCs/>
          <w:sz w:val="24"/>
          <w:szCs w:val="24"/>
        </w:rPr>
        <w:t xml:space="preserve"> (Petrova et al. 2017)</w:t>
      </w:r>
      <w:r w:rsidRPr="00375C89">
        <w:rPr>
          <w:rFonts w:ascii="Times New Roman" w:hAnsi="Times New Roman" w:cs="Times New Roman"/>
          <w:bCs/>
          <w:sz w:val="24"/>
          <w:szCs w:val="24"/>
        </w:rPr>
        <w:t xml:space="preserve">. It is noteworthy that current approaches do not account for immune impairment in the host, loss of integrity of the epithelial barrier, and impaired metabolic </w:t>
      </w:r>
      <w:r w:rsidR="00153658" w:rsidRPr="00375C89">
        <w:rPr>
          <w:rFonts w:ascii="Times New Roman" w:hAnsi="Times New Roman" w:cs="Times New Roman"/>
          <w:bCs/>
          <w:sz w:val="24"/>
          <w:szCs w:val="24"/>
        </w:rPr>
        <w:t>signalling</w:t>
      </w:r>
      <w:r w:rsidRPr="00375C89">
        <w:rPr>
          <w:rFonts w:ascii="Times New Roman" w:hAnsi="Times New Roman" w:cs="Times New Roman"/>
          <w:bCs/>
          <w:sz w:val="24"/>
          <w:szCs w:val="24"/>
        </w:rPr>
        <w:t>. While inflammation may persist and microbial metabolite dysregulation may be present, regardless of whether there is a temporary correction of microflora. All these studies, together, imply that vaginosis is not just a matter of composition but one of functionality at a systemic level. Thus, any approach to treatment of this condition must be directed towards reinstatement of metabolic, immune, epithelial, and ecological homeostasis</w:t>
      </w:r>
      <w:r w:rsidR="00784373" w:rsidRPr="00375C89">
        <w:rPr>
          <w:rFonts w:ascii="Times New Roman" w:hAnsi="Times New Roman" w:cs="Times New Roman"/>
          <w:bCs/>
          <w:sz w:val="24"/>
          <w:szCs w:val="24"/>
        </w:rPr>
        <w:t xml:space="preserve"> (Muzny et al. 2015)</w:t>
      </w:r>
      <w:r w:rsidRPr="00375C89">
        <w:rPr>
          <w:rFonts w:ascii="Times New Roman" w:hAnsi="Times New Roman" w:cs="Times New Roman"/>
          <w:bCs/>
          <w:sz w:val="24"/>
          <w:szCs w:val="24"/>
        </w:rPr>
        <w:t>.</w:t>
      </w:r>
    </w:p>
    <w:p w14:paraId="5F368C4F" w14:textId="50D1AE8E" w:rsidR="00190CEF" w:rsidRPr="00375C89" w:rsidRDefault="00BE6667" w:rsidP="00BE6667">
      <w:pPr>
        <w:pStyle w:val="ListParagraph"/>
        <w:numPr>
          <w:ilvl w:val="0"/>
          <w:numId w:val="19"/>
        </w:numPr>
        <w:spacing w:after="0" w:line="360" w:lineRule="auto"/>
        <w:ind w:left="709" w:firstLine="284"/>
        <w:jc w:val="both"/>
        <w:rPr>
          <w:rFonts w:ascii="Times New Roman" w:hAnsi="Times New Roman" w:cs="Times New Roman"/>
          <w:sz w:val="24"/>
          <w:szCs w:val="24"/>
        </w:rPr>
      </w:pPr>
      <w:r w:rsidRPr="00375C89">
        <w:rPr>
          <w:rFonts w:ascii="Times New Roman" w:hAnsi="Times New Roman" w:cs="Times New Roman"/>
          <w:sz w:val="24"/>
          <w:szCs w:val="24"/>
        </w:rPr>
        <w:lastRenderedPageBreak/>
        <w:t>MICROBIAL RESILIENCE AND ECOLOGICAL INSTABILITY</w:t>
      </w:r>
    </w:p>
    <w:p w14:paraId="131E1823" w14:textId="7C0B0E1B" w:rsidR="00190CEF" w:rsidRPr="00375C89" w:rsidRDefault="00645E71" w:rsidP="006A445A">
      <w:pPr>
        <w:pStyle w:val="ListParagraph"/>
        <w:spacing w:after="0" w:line="360" w:lineRule="auto"/>
        <w:ind w:left="0"/>
        <w:jc w:val="both"/>
        <w:rPr>
          <w:rFonts w:ascii="Times New Roman" w:hAnsi="Times New Roman" w:cs="Times New Roman"/>
          <w:bCs/>
          <w:sz w:val="24"/>
          <w:szCs w:val="24"/>
        </w:rPr>
      </w:pPr>
      <w:r w:rsidRPr="00375C89">
        <w:rPr>
          <w:rFonts w:ascii="Times New Roman" w:hAnsi="Times New Roman" w:cs="Times New Roman"/>
          <w:bCs/>
          <w:sz w:val="24"/>
          <w:szCs w:val="24"/>
        </w:rPr>
        <w:t>The critical characteristic of vaginal homeostasis is microbial resilience, which is described as the ability of vaginal microbiome to withstand any external or internal disruption and return back to normalcy once it ends. Under eubiotic conditions, the dominance of Lactobacilli leads to increased ecological stability and their effective resistance to pathogens by preventing them from colonization by maintaining low pH and producing antimicrobial metabolites</w:t>
      </w:r>
      <w:r w:rsidR="00784373" w:rsidRPr="00375C89">
        <w:rPr>
          <w:rFonts w:ascii="Times New Roman" w:hAnsi="Times New Roman" w:cs="Times New Roman"/>
          <w:bCs/>
          <w:sz w:val="24"/>
          <w:szCs w:val="24"/>
        </w:rPr>
        <w:t xml:space="preserve"> (</w:t>
      </w:r>
      <w:r w:rsidR="00784373" w:rsidRPr="00375C89">
        <w:rPr>
          <w:rFonts w:ascii="Times New Roman" w:hAnsi="Times New Roman" w:cs="Times New Roman"/>
          <w:sz w:val="24"/>
          <w:szCs w:val="24"/>
        </w:rPr>
        <w:t>Ma et al. 2012)</w:t>
      </w:r>
      <w:r w:rsidRPr="00375C89">
        <w:rPr>
          <w:rFonts w:ascii="Times New Roman" w:hAnsi="Times New Roman" w:cs="Times New Roman"/>
          <w:bCs/>
          <w:sz w:val="24"/>
          <w:szCs w:val="24"/>
        </w:rPr>
        <w:t>. Under dysbiotic conditions, low microbial resilience is shown by increased microbial diversity and biofilm formation. Such vulnerability to ecological imbalances could also account for the frequent cases of recurrences after treatment with antibiotics, which involves the suppression of microbes, which is immediately followed by the reappearance of dysbiosis. It is likely that microbial resilience should be considered an important target in future treatments with the use of the microbiome</w:t>
      </w:r>
      <w:r w:rsidR="00784373" w:rsidRPr="00375C89">
        <w:rPr>
          <w:rFonts w:ascii="Times New Roman" w:hAnsi="Times New Roman" w:cs="Times New Roman"/>
          <w:bCs/>
          <w:sz w:val="24"/>
          <w:szCs w:val="24"/>
        </w:rPr>
        <w:t xml:space="preserve"> (France et al. 2016)</w:t>
      </w:r>
      <w:r w:rsidRPr="00375C89">
        <w:rPr>
          <w:rFonts w:ascii="Times New Roman" w:hAnsi="Times New Roman" w:cs="Times New Roman"/>
          <w:bCs/>
          <w:sz w:val="24"/>
          <w:szCs w:val="24"/>
        </w:rPr>
        <w:t>.</w:t>
      </w:r>
    </w:p>
    <w:p w14:paraId="4EB27F3D" w14:textId="77777777" w:rsidR="00645E71" w:rsidRPr="00375C89" w:rsidRDefault="00645E71" w:rsidP="00BE6667">
      <w:pPr>
        <w:pStyle w:val="ListParagraph"/>
        <w:spacing w:after="0" w:line="360" w:lineRule="auto"/>
        <w:ind w:left="0"/>
        <w:jc w:val="center"/>
        <w:rPr>
          <w:rFonts w:ascii="Times New Roman" w:hAnsi="Times New Roman" w:cs="Times New Roman"/>
          <w:sz w:val="24"/>
          <w:szCs w:val="24"/>
        </w:rPr>
      </w:pPr>
    </w:p>
    <w:p w14:paraId="114D3B00" w14:textId="77777777" w:rsidR="00BE6667" w:rsidRPr="00375C89" w:rsidRDefault="00BE6667" w:rsidP="00BE6667">
      <w:pPr>
        <w:pStyle w:val="ListParagraph"/>
        <w:numPr>
          <w:ilvl w:val="0"/>
          <w:numId w:val="20"/>
        </w:numPr>
        <w:spacing w:after="0" w:line="360" w:lineRule="auto"/>
        <w:ind w:left="0" w:hanging="283"/>
        <w:jc w:val="center"/>
        <w:rPr>
          <w:rFonts w:ascii="Times New Roman" w:hAnsi="Times New Roman" w:cs="Times New Roman"/>
          <w:sz w:val="24"/>
          <w:szCs w:val="24"/>
        </w:rPr>
      </w:pPr>
      <w:r w:rsidRPr="00375C89">
        <w:rPr>
          <w:rFonts w:ascii="Times New Roman" w:hAnsi="Times New Roman" w:cs="Times New Roman"/>
          <w:sz w:val="24"/>
          <w:szCs w:val="24"/>
        </w:rPr>
        <w:t>VAGINAL DYSBIOSIS, CHALLENGES IN CLINICAL MANAGEMENT AND FUTURE RESEARCH DIRECTIONS</w:t>
      </w:r>
    </w:p>
    <w:p w14:paraId="57A06E5C" w14:textId="1FE0B985" w:rsidR="00CD76E3" w:rsidRPr="00375C89" w:rsidRDefault="00FD2511" w:rsidP="00153658">
      <w:pPr>
        <w:pStyle w:val="ListParagraph"/>
        <w:numPr>
          <w:ilvl w:val="0"/>
          <w:numId w:val="21"/>
        </w:numPr>
        <w:spacing w:after="0" w:line="360" w:lineRule="auto"/>
        <w:ind w:left="0" w:hanging="11"/>
        <w:jc w:val="both"/>
        <w:rPr>
          <w:rFonts w:ascii="Times New Roman" w:hAnsi="Times New Roman" w:cs="Times New Roman"/>
          <w:bCs/>
          <w:i/>
          <w:iCs/>
          <w:sz w:val="24"/>
          <w:szCs w:val="24"/>
        </w:rPr>
      </w:pPr>
      <w:r w:rsidRPr="00375C89">
        <w:rPr>
          <w:rFonts w:ascii="Times New Roman" w:hAnsi="Times New Roman" w:cs="Times New Roman"/>
          <w:bCs/>
          <w:i/>
          <w:iCs/>
          <w:sz w:val="24"/>
          <w:szCs w:val="24"/>
        </w:rPr>
        <w:t xml:space="preserve">Sequencing Technologies and Diagnostic Challenges in Vaginal </w:t>
      </w:r>
      <w:r w:rsidR="00BE6667" w:rsidRPr="00375C89">
        <w:rPr>
          <w:rFonts w:ascii="Times New Roman" w:hAnsi="Times New Roman" w:cs="Times New Roman"/>
          <w:bCs/>
          <w:i/>
          <w:iCs/>
          <w:sz w:val="24"/>
          <w:szCs w:val="24"/>
        </w:rPr>
        <w:t xml:space="preserve">Dysbiosis: </w:t>
      </w:r>
      <w:r w:rsidR="00BE6667" w:rsidRPr="00375C89">
        <w:rPr>
          <w:rFonts w:ascii="Times New Roman" w:hAnsi="Times New Roman" w:cs="Times New Roman"/>
          <w:bCs/>
          <w:sz w:val="24"/>
          <w:szCs w:val="24"/>
        </w:rPr>
        <w:t>Current</w:t>
      </w:r>
      <w:r w:rsidR="00CD76E3" w:rsidRPr="00375C89">
        <w:rPr>
          <w:rFonts w:ascii="Times New Roman" w:eastAsia="Times New Roman" w:hAnsi="Times New Roman" w:cs="Times New Roman"/>
          <w:sz w:val="24"/>
          <w:szCs w:val="24"/>
          <w:lang w:eastAsia="en-IN"/>
        </w:rPr>
        <w:t xml:space="preserve"> diagnostic approaches for vaginal dysbiosis are constrained by a trade-off between feasibility and biological resolution. 16S rRNA gene sequencing remains widely utilized due to its cost-effectiveness and rapid turnaround; however, it is limited by reduced taxonomic resolution and a lack of functional insight. In contrast, shotgun metagenomic sequencing enables strain-level characterization and comprehensive functional profiling, including detection of antimicrobial resistance genes and viromes, albeit at the expense of higher cost, greater sequencing depth, and substantial computational demands.</w:t>
      </w:r>
      <w:r w:rsidR="00BC2771" w:rsidRPr="00375C89">
        <w:rPr>
          <w:rFonts w:ascii="Times New Roman" w:eastAsia="Times New Roman" w:hAnsi="Times New Roman" w:cs="Times New Roman"/>
          <w:sz w:val="24"/>
          <w:szCs w:val="24"/>
          <w:lang w:eastAsia="en-IN"/>
        </w:rPr>
        <w:t xml:space="preserve"> </w:t>
      </w:r>
      <w:r w:rsidR="00CD76E3" w:rsidRPr="00375C89">
        <w:rPr>
          <w:rFonts w:ascii="Times New Roman" w:eastAsia="Times New Roman" w:hAnsi="Times New Roman" w:cs="Times New Roman"/>
          <w:sz w:val="24"/>
          <w:szCs w:val="24"/>
          <w:lang w:eastAsia="en-IN"/>
        </w:rPr>
        <w:t xml:space="preserve">Emerging evidence positions metatranscriptomics as a potential gold standard, given its ability to selectively capture metabolically active microbial populations. This approach enhances community state type (CST) classification, improves biomass estimation, and circumvents the confounding influence of DNA derived from inactive or dead organisms inherent to DNA-based methodologies. </w:t>
      </w:r>
      <w:r w:rsidR="00CD76E3" w:rsidRPr="00375C89">
        <w:rPr>
          <w:rFonts w:ascii="Times New Roman" w:hAnsi="Times New Roman" w:cs="Times New Roman"/>
          <w:sz w:val="24"/>
          <w:szCs w:val="24"/>
        </w:rPr>
        <w:t>Commonly employed gynaecological swabs and DNA extraction methods produce largely comparable microbiome profiles, while host DNA depletion techniques enhance the accuracy of shotgun sequencing without altering microbial community composition.</w:t>
      </w:r>
      <w:r w:rsidR="00BC2771" w:rsidRPr="00375C89">
        <w:rPr>
          <w:rFonts w:ascii="Times New Roman" w:eastAsia="Times New Roman" w:hAnsi="Times New Roman" w:cs="Times New Roman"/>
          <w:sz w:val="24"/>
          <w:szCs w:val="24"/>
          <w:lang w:eastAsia="en-IN"/>
        </w:rPr>
        <w:t xml:space="preserve"> </w:t>
      </w:r>
      <w:r w:rsidR="00CD76E3" w:rsidRPr="00375C89">
        <w:rPr>
          <w:rFonts w:ascii="Times New Roman" w:eastAsia="Times New Roman" w:hAnsi="Times New Roman" w:cs="Times New Roman"/>
          <w:sz w:val="24"/>
          <w:szCs w:val="24"/>
          <w:lang w:eastAsia="en-IN"/>
        </w:rPr>
        <w:t xml:space="preserve">Diagnostic complexity is further exemplified by cytolytic vaginosis, a condition characterized by excessive </w:t>
      </w:r>
      <w:r w:rsidR="00CD76E3" w:rsidRPr="00375C89">
        <w:rPr>
          <w:rFonts w:ascii="Times New Roman" w:eastAsia="Times New Roman" w:hAnsi="Times New Roman" w:cs="Times New Roman"/>
          <w:i/>
          <w:iCs/>
          <w:sz w:val="24"/>
          <w:szCs w:val="24"/>
          <w:lang w:eastAsia="en-IN"/>
        </w:rPr>
        <w:t>Lactobacillus</w:t>
      </w:r>
      <w:r w:rsidR="00CD76E3" w:rsidRPr="00375C89">
        <w:rPr>
          <w:rFonts w:ascii="Times New Roman" w:eastAsia="Times New Roman" w:hAnsi="Times New Roman" w:cs="Times New Roman"/>
          <w:sz w:val="24"/>
          <w:szCs w:val="24"/>
          <w:lang w:eastAsia="en-IN"/>
        </w:rPr>
        <w:t xml:space="preserve"> (often </w:t>
      </w:r>
      <w:r w:rsidR="00CD76E3" w:rsidRPr="00375C89">
        <w:rPr>
          <w:rFonts w:ascii="Times New Roman" w:eastAsia="Times New Roman" w:hAnsi="Times New Roman" w:cs="Times New Roman"/>
          <w:i/>
          <w:iCs/>
          <w:sz w:val="24"/>
          <w:szCs w:val="24"/>
          <w:lang w:eastAsia="en-IN"/>
        </w:rPr>
        <w:t>Lactobacillus crispatus</w:t>
      </w:r>
      <w:r w:rsidR="00CD76E3" w:rsidRPr="00375C89">
        <w:rPr>
          <w:rFonts w:ascii="Times New Roman" w:eastAsia="Times New Roman" w:hAnsi="Times New Roman" w:cs="Times New Roman"/>
          <w:sz w:val="24"/>
          <w:szCs w:val="24"/>
          <w:lang w:eastAsia="en-IN"/>
        </w:rPr>
        <w:t>)</w:t>
      </w:r>
      <w:r w:rsidR="00AE39C1" w:rsidRPr="00375C89">
        <w:rPr>
          <w:rFonts w:ascii="Times New Roman" w:eastAsia="Times New Roman" w:hAnsi="Times New Roman" w:cs="Times New Roman"/>
          <w:sz w:val="24"/>
          <w:szCs w:val="24"/>
          <w:lang w:eastAsia="en-IN"/>
        </w:rPr>
        <w:t xml:space="preserve"> </w:t>
      </w:r>
      <w:r w:rsidR="00CD76E3" w:rsidRPr="00375C89">
        <w:rPr>
          <w:rFonts w:ascii="Times New Roman" w:eastAsia="Times New Roman" w:hAnsi="Times New Roman" w:cs="Times New Roman"/>
          <w:sz w:val="24"/>
          <w:szCs w:val="24"/>
          <w:lang w:eastAsia="en-IN"/>
        </w:rPr>
        <w:t xml:space="preserve">mediated epithelial cytolysis that clinically mimics candidiasis. As current sequencing modalities do not capture epithelial damage, diagnosis remains reliant on indirect measures such as vaginal pH, </w:t>
      </w:r>
      <w:r w:rsidR="00CD76E3" w:rsidRPr="00375C89">
        <w:rPr>
          <w:rFonts w:ascii="Times New Roman" w:eastAsia="Times New Roman" w:hAnsi="Times New Roman" w:cs="Times New Roman"/>
          <w:sz w:val="24"/>
          <w:szCs w:val="24"/>
          <w:lang w:eastAsia="en-IN"/>
        </w:rPr>
        <w:lastRenderedPageBreak/>
        <w:t xml:space="preserve">microscopy, and exclusion of pathogenic organisms. These limitations underscore the urgent need for integrated molecular biomarkers capable of linking microbiome composition with host epithelial pathology </w:t>
      </w:r>
      <w:r w:rsidR="00CD76E3" w:rsidRPr="00375C89">
        <w:rPr>
          <w:rFonts w:ascii="Times New Roman" w:hAnsi="Times New Roman" w:cs="Times New Roman"/>
          <w:bCs/>
          <w:sz w:val="24"/>
          <w:szCs w:val="24"/>
        </w:rPr>
        <w:t>(</w:t>
      </w:r>
      <w:r w:rsidR="00CD76E3" w:rsidRPr="00375C89">
        <w:rPr>
          <w:rFonts w:ascii="Times New Roman" w:hAnsi="Times New Roman" w:cs="Times New Roman"/>
          <w:sz w:val="24"/>
          <w:szCs w:val="24"/>
        </w:rPr>
        <w:t>Dos et</w:t>
      </w:r>
      <w:r w:rsidR="00FD41B0" w:rsidRPr="00375C89">
        <w:rPr>
          <w:rFonts w:ascii="Times New Roman" w:hAnsi="Times New Roman" w:cs="Times New Roman"/>
          <w:sz w:val="24"/>
          <w:szCs w:val="24"/>
        </w:rPr>
        <w:t xml:space="preserve"> </w:t>
      </w:r>
      <w:r w:rsidR="00CD76E3" w:rsidRPr="00375C89">
        <w:rPr>
          <w:rFonts w:ascii="Times New Roman" w:hAnsi="Times New Roman" w:cs="Times New Roman"/>
          <w:sz w:val="24"/>
          <w:szCs w:val="24"/>
        </w:rPr>
        <w:t>al. 2024)</w:t>
      </w:r>
      <w:r w:rsidR="00CD76E3" w:rsidRPr="00375C89">
        <w:rPr>
          <w:rFonts w:ascii="Times New Roman" w:eastAsia="Times New Roman" w:hAnsi="Times New Roman" w:cs="Times New Roman"/>
          <w:sz w:val="24"/>
          <w:szCs w:val="24"/>
          <w:lang w:eastAsia="en-IN"/>
        </w:rPr>
        <w:t>.</w:t>
      </w:r>
    </w:p>
    <w:p w14:paraId="0672589E" w14:textId="25862A3E" w:rsidR="006A445A" w:rsidRPr="00375C89" w:rsidRDefault="00E475FA" w:rsidP="00BE6667">
      <w:pPr>
        <w:pStyle w:val="ListParagraph"/>
        <w:numPr>
          <w:ilvl w:val="0"/>
          <w:numId w:val="21"/>
        </w:numPr>
        <w:spacing w:after="0" w:line="360" w:lineRule="auto"/>
        <w:ind w:left="0" w:hanging="153"/>
        <w:jc w:val="both"/>
        <w:rPr>
          <w:rFonts w:ascii="Times New Roman" w:hAnsi="Times New Roman" w:cs="Times New Roman"/>
          <w:bCs/>
          <w:i/>
          <w:iCs/>
          <w:sz w:val="24"/>
          <w:szCs w:val="24"/>
        </w:rPr>
      </w:pPr>
      <w:r w:rsidRPr="00375C89">
        <w:rPr>
          <w:rFonts w:ascii="Times New Roman" w:hAnsi="Times New Roman" w:cs="Times New Roman"/>
          <w:bCs/>
          <w:i/>
          <w:iCs/>
          <w:sz w:val="24"/>
          <w:szCs w:val="24"/>
        </w:rPr>
        <w:t>Personalized Microbiome Therapeutics and Pharmacomicrobiomics</w:t>
      </w:r>
      <w:r w:rsidR="00BE6667" w:rsidRPr="00375C89">
        <w:rPr>
          <w:rFonts w:ascii="Times New Roman" w:hAnsi="Times New Roman" w:cs="Times New Roman"/>
          <w:bCs/>
          <w:i/>
          <w:iCs/>
          <w:sz w:val="24"/>
          <w:szCs w:val="24"/>
        </w:rPr>
        <w:t xml:space="preserve">: </w:t>
      </w:r>
      <w:r w:rsidR="00924259" w:rsidRPr="00375C89">
        <w:rPr>
          <w:rFonts w:ascii="Times New Roman" w:hAnsi="Times New Roman" w:cs="Times New Roman"/>
          <w:sz w:val="24"/>
          <w:szCs w:val="24"/>
        </w:rPr>
        <w:t>Pharmacomicrobiomics translates the role of host-microbiota interactions into the field of precision medicine</w:t>
      </w:r>
      <w:r w:rsidR="00D747A5" w:rsidRPr="00375C89">
        <w:rPr>
          <w:rFonts w:ascii="Times New Roman" w:hAnsi="Times New Roman" w:cs="Times New Roman"/>
          <w:sz w:val="24"/>
          <w:szCs w:val="24"/>
        </w:rPr>
        <w:t xml:space="preserve">. It </w:t>
      </w:r>
      <w:r w:rsidR="00307042" w:rsidRPr="00375C89">
        <w:rPr>
          <w:rFonts w:ascii="Times New Roman" w:hAnsi="Times New Roman" w:cs="Times New Roman"/>
          <w:sz w:val="24"/>
          <w:szCs w:val="24"/>
        </w:rPr>
        <w:t>acknowledges</w:t>
      </w:r>
      <w:r w:rsidR="00924259" w:rsidRPr="00375C89">
        <w:rPr>
          <w:rFonts w:ascii="Times New Roman" w:hAnsi="Times New Roman" w:cs="Times New Roman"/>
          <w:sz w:val="24"/>
          <w:szCs w:val="24"/>
        </w:rPr>
        <w:t xml:space="preserve"> microbiota as an important factor that influences the pharmacokinetics, pharmacodynamics, and toxicity of drugs. Microbial enzymes directly affect the metabolism of drugs, whereas microbial metabolites affect the </w:t>
      </w:r>
      <w:r w:rsidR="007B1491" w:rsidRPr="00375C89">
        <w:rPr>
          <w:rFonts w:ascii="Times New Roman" w:hAnsi="Times New Roman" w:cs="Times New Roman"/>
          <w:sz w:val="24"/>
          <w:szCs w:val="24"/>
        </w:rPr>
        <w:t>signalling</w:t>
      </w:r>
      <w:r w:rsidR="00924259" w:rsidRPr="00375C89">
        <w:rPr>
          <w:rFonts w:ascii="Times New Roman" w:hAnsi="Times New Roman" w:cs="Times New Roman"/>
          <w:sz w:val="24"/>
          <w:szCs w:val="24"/>
        </w:rPr>
        <w:t xml:space="preserve"> pathways of the host. Unlike the host's genetic makeup, the microbiota is dynamic and can be altered, which makes it a promising target for personalized medicine. However, the clinical application of the microbiota is hindered by the presence of high </w:t>
      </w:r>
      <w:r w:rsidR="00EC51B9" w:rsidRPr="00375C89">
        <w:rPr>
          <w:rFonts w:ascii="Times New Roman" w:hAnsi="Times New Roman" w:cs="Times New Roman"/>
          <w:sz w:val="24"/>
          <w:szCs w:val="24"/>
        </w:rPr>
        <w:t xml:space="preserve">level of </w:t>
      </w:r>
      <w:r w:rsidR="00924259" w:rsidRPr="00375C89">
        <w:rPr>
          <w:rFonts w:ascii="Times New Roman" w:hAnsi="Times New Roman" w:cs="Times New Roman"/>
          <w:sz w:val="24"/>
          <w:szCs w:val="24"/>
        </w:rPr>
        <w:t>individual and strain variability</w:t>
      </w:r>
      <w:r w:rsidR="007B1491" w:rsidRPr="00375C89">
        <w:rPr>
          <w:rFonts w:ascii="Times New Roman" w:hAnsi="Times New Roman" w:cs="Times New Roman"/>
          <w:sz w:val="24"/>
          <w:szCs w:val="24"/>
        </w:rPr>
        <w:t>. Further,</w:t>
      </w:r>
      <w:r w:rsidR="00924259" w:rsidRPr="00375C89">
        <w:rPr>
          <w:rFonts w:ascii="Times New Roman" w:hAnsi="Times New Roman" w:cs="Times New Roman"/>
          <w:sz w:val="24"/>
          <w:szCs w:val="24"/>
        </w:rPr>
        <w:t xml:space="preserve"> the absence of strain-level efficacy information makes it difficult to use probiotics as a treatment option. To overcome these issues, patient-specific drug testing platforms, such as the use of an organ-on-chip device that co-cultures the patient's microbiota with human vaginal epithelial cells, provide a promising preclinical tool for assessing individualized responses to drugs and probiotics</w:t>
      </w:r>
      <w:r w:rsidR="00872220" w:rsidRPr="00375C89">
        <w:rPr>
          <w:rFonts w:ascii="Times New Roman" w:hAnsi="Times New Roman" w:cs="Times New Roman"/>
          <w:sz w:val="24"/>
          <w:szCs w:val="24"/>
        </w:rPr>
        <w:t xml:space="preserve"> (Zimmermann et</w:t>
      </w:r>
      <w:r w:rsidR="00FD41B0" w:rsidRPr="00375C89">
        <w:rPr>
          <w:rFonts w:ascii="Times New Roman" w:hAnsi="Times New Roman" w:cs="Times New Roman"/>
          <w:sz w:val="24"/>
          <w:szCs w:val="24"/>
        </w:rPr>
        <w:t xml:space="preserve"> </w:t>
      </w:r>
      <w:r w:rsidR="00872220" w:rsidRPr="00375C89">
        <w:rPr>
          <w:rFonts w:ascii="Times New Roman" w:hAnsi="Times New Roman" w:cs="Times New Roman"/>
          <w:sz w:val="24"/>
          <w:szCs w:val="24"/>
        </w:rPr>
        <w:t>al. 2019)</w:t>
      </w:r>
      <w:r w:rsidR="00924259" w:rsidRPr="00375C89">
        <w:rPr>
          <w:rFonts w:ascii="Times New Roman" w:hAnsi="Times New Roman" w:cs="Times New Roman"/>
          <w:sz w:val="24"/>
          <w:szCs w:val="24"/>
        </w:rPr>
        <w:t>.</w:t>
      </w:r>
    </w:p>
    <w:p w14:paraId="56BFE4AF" w14:textId="5078C8D0" w:rsidR="006A445A" w:rsidRPr="00375C89" w:rsidRDefault="00E475FA" w:rsidP="00BE6667">
      <w:pPr>
        <w:pStyle w:val="ListParagraph"/>
        <w:numPr>
          <w:ilvl w:val="0"/>
          <w:numId w:val="21"/>
        </w:numPr>
        <w:spacing w:after="0" w:line="360" w:lineRule="auto"/>
        <w:ind w:left="0" w:hanging="153"/>
        <w:jc w:val="both"/>
        <w:rPr>
          <w:rFonts w:ascii="Times New Roman" w:hAnsi="Times New Roman" w:cs="Times New Roman"/>
          <w:bCs/>
          <w:i/>
          <w:iCs/>
          <w:sz w:val="24"/>
          <w:szCs w:val="24"/>
        </w:rPr>
      </w:pPr>
      <w:r w:rsidRPr="00375C89">
        <w:rPr>
          <w:rFonts w:ascii="Times New Roman" w:hAnsi="Times New Roman" w:cs="Times New Roman"/>
          <w:bCs/>
          <w:i/>
          <w:iCs/>
          <w:sz w:val="24"/>
          <w:szCs w:val="24"/>
        </w:rPr>
        <w:t>Multi-Omics Integration and Systems-Level Understanding</w:t>
      </w:r>
      <w:r w:rsidR="00BE6667" w:rsidRPr="00375C89">
        <w:rPr>
          <w:rFonts w:ascii="Times New Roman" w:hAnsi="Times New Roman" w:cs="Times New Roman"/>
          <w:bCs/>
          <w:i/>
          <w:iCs/>
          <w:sz w:val="24"/>
          <w:szCs w:val="24"/>
        </w:rPr>
        <w:t xml:space="preserve">: </w:t>
      </w:r>
      <w:r w:rsidR="00924259" w:rsidRPr="00375C89">
        <w:rPr>
          <w:rFonts w:ascii="Times New Roman" w:hAnsi="Times New Roman" w:cs="Times New Roman"/>
          <w:sz w:val="24"/>
          <w:szCs w:val="24"/>
        </w:rPr>
        <w:t>The taxonomic composition of microbes alone is insufficient for understanding dysbiosis</w:t>
      </w:r>
      <w:r w:rsidR="00D747A5" w:rsidRPr="00375C89">
        <w:rPr>
          <w:rFonts w:ascii="Times New Roman" w:hAnsi="Times New Roman" w:cs="Times New Roman"/>
          <w:sz w:val="24"/>
          <w:szCs w:val="24"/>
        </w:rPr>
        <w:t>. M</w:t>
      </w:r>
      <w:r w:rsidR="00924259" w:rsidRPr="00375C89">
        <w:rPr>
          <w:rFonts w:ascii="Times New Roman" w:hAnsi="Times New Roman" w:cs="Times New Roman"/>
          <w:sz w:val="24"/>
          <w:szCs w:val="24"/>
        </w:rPr>
        <w:t>ulti-omics analyses have shown that host-derived metabolites and immune mediators are better predictors of inflammation, vaginal pH, and microbial community structure than microbial composition itself. While multi-omics analyses provide better functional resolution, their benefit over single-omics analysis is often small, which can be attributed to redundancy in the different layers of data</w:t>
      </w:r>
      <w:r w:rsidR="00D747A5" w:rsidRPr="00375C89">
        <w:rPr>
          <w:rFonts w:ascii="Times New Roman" w:hAnsi="Times New Roman" w:cs="Times New Roman"/>
          <w:sz w:val="24"/>
          <w:szCs w:val="24"/>
        </w:rPr>
        <w:t xml:space="preserve"> </w:t>
      </w:r>
      <w:r w:rsidR="00872220" w:rsidRPr="00375C89">
        <w:rPr>
          <w:rFonts w:ascii="Times New Roman" w:hAnsi="Times New Roman" w:cs="Times New Roman"/>
          <w:sz w:val="24"/>
          <w:szCs w:val="24"/>
        </w:rPr>
        <w:t>(Bokulich et</w:t>
      </w:r>
      <w:r w:rsidR="00FD41B0" w:rsidRPr="00375C89">
        <w:rPr>
          <w:rFonts w:ascii="Times New Roman" w:hAnsi="Times New Roman" w:cs="Times New Roman"/>
          <w:sz w:val="24"/>
          <w:szCs w:val="24"/>
        </w:rPr>
        <w:t xml:space="preserve"> </w:t>
      </w:r>
      <w:r w:rsidR="00872220" w:rsidRPr="00375C89">
        <w:rPr>
          <w:rFonts w:ascii="Times New Roman" w:hAnsi="Times New Roman" w:cs="Times New Roman"/>
          <w:sz w:val="24"/>
          <w:szCs w:val="24"/>
        </w:rPr>
        <w:t>al. 2022)</w:t>
      </w:r>
      <w:r w:rsidR="00924259" w:rsidRPr="00375C89">
        <w:rPr>
          <w:rFonts w:ascii="Times New Roman" w:hAnsi="Times New Roman" w:cs="Times New Roman"/>
          <w:sz w:val="24"/>
          <w:szCs w:val="24"/>
        </w:rPr>
        <w:t>.</w:t>
      </w:r>
    </w:p>
    <w:p w14:paraId="7BB5A5CD" w14:textId="6C66FBBD" w:rsidR="006A445A" w:rsidRPr="00375C89" w:rsidRDefault="00E475FA" w:rsidP="00BE6667">
      <w:pPr>
        <w:pStyle w:val="ListParagraph"/>
        <w:numPr>
          <w:ilvl w:val="0"/>
          <w:numId w:val="21"/>
        </w:numPr>
        <w:spacing w:after="0" w:line="360" w:lineRule="auto"/>
        <w:ind w:left="0" w:hanging="153"/>
        <w:jc w:val="both"/>
        <w:rPr>
          <w:rFonts w:ascii="Times New Roman" w:hAnsi="Times New Roman" w:cs="Times New Roman"/>
          <w:bCs/>
          <w:i/>
          <w:iCs/>
          <w:sz w:val="24"/>
          <w:szCs w:val="24"/>
        </w:rPr>
      </w:pPr>
      <w:r w:rsidRPr="00375C89">
        <w:rPr>
          <w:rFonts w:ascii="Times New Roman" w:hAnsi="Times New Roman" w:cs="Times New Roman"/>
          <w:bCs/>
          <w:i/>
          <w:iCs/>
          <w:sz w:val="24"/>
          <w:szCs w:val="24"/>
        </w:rPr>
        <w:t>Global Health Disparities and Research Equity</w:t>
      </w:r>
      <w:r w:rsidR="00BE6667" w:rsidRPr="00375C89">
        <w:rPr>
          <w:rFonts w:ascii="Times New Roman" w:hAnsi="Times New Roman" w:cs="Times New Roman"/>
          <w:bCs/>
          <w:i/>
          <w:iCs/>
          <w:sz w:val="24"/>
          <w:szCs w:val="24"/>
        </w:rPr>
        <w:t xml:space="preserve">: </w:t>
      </w:r>
      <w:r w:rsidR="00924259" w:rsidRPr="00375C89">
        <w:rPr>
          <w:rFonts w:ascii="Times New Roman" w:hAnsi="Times New Roman" w:cs="Times New Roman"/>
          <w:sz w:val="24"/>
          <w:szCs w:val="24"/>
        </w:rPr>
        <w:t xml:space="preserve">The African vaginal microbiota has been shown to have unique features, which are often represented by a high abundance of </w:t>
      </w:r>
      <w:r w:rsidR="00924259" w:rsidRPr="00375C89">
        <w:rPr>
          <w:rFonts w:ascii="Times New Roman" w:hAnsi="Times New Roman" w:cs="Times New Roman"/>
          <w:i/>
          <w:iCs/>
          <w:sz w:val="24"/>
          <w:szCs w:val="24"/>
        </w:rPr>
        <w:t>Lactobacillus iners</w:t>
      </w:r>
      <w:r w:rsidR="00924259" w:rsidRPr="00375C89">
        <w:rPr>
          <w:rFonts w:ascii="Times New Roman" w:hAnsi="Times New Roman" w:cs="Times New Roman"/>
          <w:sz w:val="24"/>
          <w:szCs w:val="24"/>
        </w:rPr>
        <w:t xml:space="preserve"> and a higher baseline microbial diversity, with varying prevalence of bacterial vaginosis. Importantly, ancestry-related microbiota profiles are retained even after geographical migration, indicating a strong host-microbiota association</w:t>
      </w:r>
      <w:r w:rsidR="00872220" w:rsidRPr="00375C89">
        <w:rPr>
          <w:rFonts w:ascii="Times New Roman" w:hAnsi="Times New Roman" w:cs="Times New Roman"/>
          <w:sz w:val="24"/>
          <w:szCs w:val="24"/>
        </w:rPr>
        <w:t xml:space="preserve"> (Kullin et</w:t>
      </w:r>
      <w:r w:rsidR="00FD41B0" w:rsidRPr="00375C89">
        <w:rPr>
          <w:rFonts w:ascii="Times New Roman" w:hAnsi="Times New Roman" w:cs="Times New Roman"/>
          <w:sz w:val="24"/>
          <w:szCs w:val="24"/>
        </w:rPr>
        <w:t xml:space="preserve"> </w:t>
      </w:r>
      <w:r w:rsidR="00872220" w:rsidRPr="00375C89">
        <w:rPr>
          <w:rFonts w:ascii="Times New Roman" w:hAnsi="Times New Roman" w:cs="Times New Roman"/>
          <w:sz w:val="24"/>
          <w:szCs w:val="24"/>
        </w:rPr>
        <w:t>al. 2025)</w:t>
      </w:r>
      <w:r w:rsidR="00924259" w:rsidRPr="00375C89">
        <w:rPr>
          <w:rFonts w:ascii="Times New Roman" w:hAnsi="Times New Roman" w:cs="Times New Roman"/>
          <w:sz w:val="24"/>
          <w:szCs w:val="24"/>
        </w:rPr>
        <w:t>. Sub-Saharan Africa is disproportionately affected by microbiota-related outcomes, such as preterm birth and enhanced susceptibility to STIs and HIV</w:t>
      </w:r>
      <w:r w:rsidR="00872220" w:rsidRPr="00375C89">
        <w:rPr>
          <w:rFonts w:ascii="Times New Roman" w:hAnsi="Times New Roman" w:cs="Times New Roman"/>
          <w:sz w:val="24"/>
          <w:szCs w:val="24"/>
        </w:rPr>
        <w:t>.</w:t>
      </w:r>
      <w:r w:rsidR="00924259" w:rsidRPr="00375C89">
        <w:rPr>
          <w:rFonts w:ascii="Times New Roman" w:hAnsi="Times New Roman" w:cs="Times New Roman"/>
          <w:sz w:val="24"/>
          <w:szCs w:val="24"/>
        </w:rPr>
        <w:t xml:space="preserve"> </w:t>
      </w:r>
      <w:r w:rsidR="00872220" w:rsidRPr="00375C89">
        <w:rPr>
          <w:rFonts w:ascii="Times New Roman" w:hAnsi="Times New Roman" w:cs="Times New Roman"/>
          <w:sz w:val="24"/>
          <w:szCs w:val="24"/>
        </w:rPr>
        <w:t>H</w:t>
      </w:r>
      <w:r w:rsidR="00924259" w:rsidRPr="00375C89">
        <w:rPr>
          <w:rFonts w:ascii="Times New Roman" w:hAnsi="Times New Roman" w:cs="Times New Roman"/>
          <w:sz w:val="24"/>
          <w:szCs w:val="24"/>
        </w:rPr>
        <w:t xml:space="preserve">owever, most current diagnostic criteria and treatment modalities are based on non-African populations, representing a critical “missing microbiome” gap. In an attempt to fill this gap, the Vaginal Microbiota Research Consortium for Africa (VMRCA) encourages African-led longitudinal research to define </w:t>
      </w:r>
      <w:r w:rsidR="00924259" w:rsidRPr="00375C89">
        <w:rPr>
          <w:rFonts w:ascii="Times New Roman" w:hAnsi="Times New Roman" w:cs="Times New Roman"/>
          <w:sz w:val="24"/>
          <w:szCs w:val="24"/>
        </w:rPr>
        <w:lastRenderedPageBreak/>
        <w:t>resilient microbiota profiles, develop probiotics tailored to the population, and enhance African research capacity</w:t>
      </w:r>
      <w:r w:rsidR="00872220" w:rsidRPr="00375C89">
        <w:rPr>
          <w:rFonts w:ascii="Times New Roman" w:hAnsi="Times New Roman" w:cs="Times New Roman"/>
          <w:sz w:val="24"/>
          <w:szCs w:val="24"/>
        </w:rPr>
        <w:t xml:space="preserve"> (Bayigga et</w:t>
      </w:r>
      <w:r w:rsidR="00FD41B0" w:rsidRPr="00375C89">
        <w:rPr>
          <w:rFonts w:ascii="Times New Roman" w:hAnsi="Times New Roman" w:cs="Times New Roman"/>
          <w:sz w:val="24"/>
          <w:szCs w:val="24"/>
        </w:rPr>
        <w:t xml:space="preserve"> </w:t>
      </w:r>
      <w:r w:rsidR="00872220" w:rsidRPr="00375C89">
        <w:rPr>
          <w:rFonts w:ascii="Times New Roman" w:hAnsi="Times New Roman" w:cs="Times New Roman"/>
          <w:sz w:val="24"/>
          <w:szCs w:val="24"/>
        </w:rPr>
        <w:t>al. 2019)</w:t>
      </w:r>
      <w:r w:rsidR="00924259" w:rsidRPr="00375C89">
        <w:rPr>
          <w:rFonts w:ascii="Times New Roman" w:hAnsi="Times New Roman" w:cs="Times New Roman"/>
          <w:sz w:val="24"/>
          <w:szCs w:val="24"/>
        </w:rPr>
        <w:t>.</w:t>
      </w:r>
    </w:p>
    <w:p w14:paraId="5323D63A" w14:textId="77777777" w:rsidR="006A445A" w:rsidRPr="00375C89" w:rsidRDefault="006A445A" w:rsidP="00BE6667">
      <w:pPr>
        <w:spacing w:after="0" w:line="360" w:lineRule="auto"/>
        <w:jc w:val="both"/>
        <w:rPr>
          <w:rFonts w:ascii="Times New Roman" w:hAnsi="Times New Roman" w:cs="Times New Roman"/>
          <w:b/>
          <w:bCs/>
          <w:sz w:val="24"/>
          <w:szCs w:val="24"/>
        </w:rPr>
      </w:pPr>
    </w:p>
    <w:p w14:paraId="5444F7C1" w14:textId="1104717B" w:rsidR="00E475FA" w:rsidRPr="00375C89" w:rsidRDefault="00F35720" w:rsidP="00F35720">
      <w:pPr>
        <w:pStyle w:val="ListParagraph"/>
        <w:numPr>
          <w:ilvl w:val="0"/>
          <w:numId w:val="20"/>
        </w:numPr>
        <w:spacing w:after="0" w:line="360" w:lineRule="auto"/>
        <w:ind w:left="567" w:hanging="425"/>
        <w:jc w:val="center"/>
        <w:rPr>
          <w:rFonts w:ascii="Times New Roman" w:hAnsi="Times New Roman" w:cs="Times New Roman"/>
          <w:sz w:val="24"/>
          <w:szCs w:val="24"/>
        </w:rPr>
      </w:pPr>
      <w:r w:rsidRPr="00375C89">
        <w:rPr>
          <w:rFonts w:ascii="Times New Roman" w:hAnsi="Times New Roman" w:cs="Times New Roman"/>
          <w:sz w:val="24"/>
          <w:szCs w:val="24"/>
        </w:rPr>
        <w:t>CRITICAL KNOWLEDGE GAPS AND RESEARCH PRIORITIES</w:t>
      </w:r>
    </w:p>
    <w:p w14:paraId="69DEDD12" w14:textId="77777777" w:rsidR="006A445A" w:rsidRPr="00375C89" w:rsidRDefault="00924259" w:rsidP="006A445A">
      <w:pPr>
        <w:spacing w:after="0" w:line="360" w:lineRule="auto"/>
        <w:jc w:val="both"/>
        <w:rPr>
          <w:rFonts w:ascii="Times New Roman" w:hAnsi="Times New Roman" w:cs="Times New Roman"/>
          <w:sz w:val="24"/>
          <w:szCs w:val="24"/>
        </w:rPr>
      </w:pPr>
      <w:r w:rsidRPr="00375C89">
        <w:rPr>
          <w:rFonts w:ascii="Times New Roman" w:hAnsi="Times New Roman" w:cs="Times New Roman"/>
          <w:sz w:val="24"/>
          <w:szCs w:val="24"/>
        </w:rPr>
        <w:t>The essential knowledge gaps are categorized into the following diagnostic, therapeutic, mechanistic, and population-level gaps. The diagnostic knowledge gaps include the requirements for population-specific thresholds, cost-effective point-of-care technologies, and non-invasive cervicovaginal health biomarkers. The therapeutic knowledge gaps include the validation of strain-specific probiotic efficacy, vaginal microbiota transplantation, and partner-inclusive treatment approaches. The mechanistic knowledge gaps include the uncertainties associated with polymicrobial interactions, estrobolome and disease correlations</w:t>
      </w:r>
      <w:r w:rsidR="00014023" w:rsidRPr="00375C89">
        <w:rPr>
          <w:rFonts w:ascii="Times New Roman" w:hAnsi="Times New Roman" w:cs="Times New Roman"/>
          <w:sz w:val="24"/>
          <w:szCs w:val="24"/>
        </w:rPr>
        <w:t xml:space="preserve">, the </w:t>
      </w:r>
      <w:r w:rsidRPr="00375C89">
        <w:rPr>
          <w:rFonts w:ascii="Times New Roman" w:hAnsi="Times New Roman" w:cs="Times New Roman"/>
          <w:sz w:val="24"/>
          <w:szCs w:val="24"/>
        </w:rPr>
        <w:t>paradoxical role of vaginal short-chain fatty acids, and immune system reprogramming. The population-level knowledge gaps include the characterization of African vaginal microbiota dynamics, representation of transgender and non-binary populations, and dysbiosis in post-menopausal conditions.</w:t>
      </w:r>
    </w:p>
    <w:p w14:paraId="4F0349FD" w14:textId="77777777" w:rsidR="006A445A" w:rsidRPr="00375C89" w:rsidRDefault="006A445A" w:rsidP="006A445A">
      <w:pPr>
        <w:spacing w:after="0" w:line="360" w:lineRule="auto"/>
        <w:jc w:val="both"/>
        <w:rPr>
          <w:rFonts w:ascii="Times New Roman" w:hAnsi="Times New Roman" w:cs="Times New Roman"/>
          <w:sz w:val="24"/>
          <w:szCs w:val="24"/>
        </w:rPr>
      </w:pPr>
    </w:p>
    <w:p w14:paraId="0EBF981D" w14:textId="09BC68BE" w:rsidR="00E475FA" w:rsidRPr="00375C89" w:rsidRDefault="00F35720" w:rsidP="00F35720">
      <w:pPr>
        <w:pStyle w:val="ListParagraph"/>
        <w:numPr>
          <w:ilvl w:val="0"/>
          <w:numId w:val="20"/>
        </w:numPr>
        <w:spacing w:after="0" w:line="360" w:lineRule="auto"/>
        <w:ind w:left="1134" w:hanging="524"/>
        <w:jc w:val="center"/>
        <w:rPr>
          <w:rFonts w:ascii="Times New Roman" w:hAnsi="Times New Roman" w:cs="Times New Roman"/>
          <w:sz w:val="24"/>
          <w:szCs w:val="24"/>
        </w:rPr>
      </w:pPr>
      <w:r w:rsidRPr="00375C89">
        <w:rPr>
          <w:rFonts w:ascii="Times New Roman" w:hAnsi="Times New Roman" w:cs="Times New Roman"/>
          <w:sz w:val="24"/>
          <w:szCs w:val="24"/>
        </w:rPr>
        <w:t>FUTURE RESEARCH DIRECTIONS AND IMPLEMENTATION STRATEGIES</w:t>
      </w:r>
    </w:p>
    <w:p w14:paraId="2A169734" w14:textId="77777777" w:rsidR="006A445A" w:rsidRDefault="00924259" w:rsidP="006A445A">
      <w:pPr>
        <w:pStyle w:val="ListParagraph"/>
        <w:spacing w:line="360" w:lineRule="auto"/>
        <w:ind w:left="0"/>
        <w:jc w:val="both"/>
        <w:rPr>
          <w:rFonts w:ascii="Times New Roman" w:hAnsi="Times New Roman" w:cs="Times New Roman"/>
          <w:sz w:val="24"/>
          <w:szCs w:val="24"/>
        </w:rPr>
      </w:pPr>
      <w:r w:rsidRPr="00375C89">
        <w:rPr>
          <w:rFonts w:ascii="Times New Roman" w:hAnsi="Times New Roman" w:cs="Times New Roman"/>
          <w:sz w:val="24"/>
          <w:szCs w:val="24"/>
        </w:rPr>
        <w:t xml:space="preserve">A standardized diagnostic approach should focus on RNA-based tests as reference standards, use population-stratified thresholds, leverage cost-effective point-of-care technologies, and develop reliable molecular biomarkers of cervicovaginal health. For therapeutic advances, the application of organ-on-chip technology for strain-level testing, the incorporation of pharmacomicrobiomics into personalized therapies, the development of targeted bacteriophage therapies, and the adoption of couple-based care models </w:t>
      </w:r>
      <w:r w:rsidR="00A96DB6" w:rsidRPr="00375C89">
        <w:rPr>
          <w:rFonts w:ascii="Times New Roman" w:hAnsi="Times New Roman" w:cs="Times New Roman"/>
          <w:sz w:val="24"/>
          <w:szCs w:val="24"/>
        </w:rPr>
        <w:t>may</w:t>
      </w:r>
      <w:r w:rsidRPr="00375C89">
        <w:rPr>
          <w:rFonts w:ascii="Times New Roman" w:hAnsi="Times New Roman" w:cs="Times New Roman"/>
          <w:sz w:val="24"/>
          <w:szCs w:val="24"/>
        </w:rPr>
        <w:t xml:space="preserve"> be </w:t>
      </w:r>
      <w:r w:rsidR="00014023" w:rsidRPr="00375C89">
        <w:rPr>
          <w:rFonts w:ascii="Times New Roman" w:hAnsi="Times New Roman" w:cs="Times New Roman"/>
          <w:sz w:val="24"/>
          <w:szCs w:val="24"/>
        </w:rPr>
        <w:t>explored</w:t>
      </w:r>
      <w:r w:rsidRPr="00375C89">
        <w:rPr>
          <w:rFonts w:ascii="Times New Roman" w:hAnsi="Times New Roman" w:cs="Times New Roman"/>
          <w:sz w:val="24"/>
          <w:szCs w:val="24"/>
        </w:rPr>
        <w:t xml:space="preserve">. From a research and public health community point of view, continued investment in longitudinal multi-omics studies, the standardization of organ-on-chip technology, the expansion of African-led research efforts, and the integration of health equity frameworks would be critical. Notably, the integration of dysbiosis screening into </w:t>
      </w:r>
      <w:r w:rsidR="00014023" w:rsidRPr="00375C89">
        <w:rPr>
          <w:rFonts w:ascii="Times New Roman" w:hAnsi="Times New Roman" w:cs="Times New Roman"/>
          <w:sz w:val="24"/>
          <w:szCs w:val="24"/>
        </w:rPr>
        <w:t>gynaecologic</w:t>
      </w:r>
      <w:r w:rsidRPr="00375C89">
        <w:rPr>
          <w:rFonts w:ascii="Times New Roman" w:hAnsi="Times New Roman" w:cs="Times New Roman"/>
          <w:sz w:val="24"/>
          <w:szCs w:val="24"/>
        </w:rPr>
        <w:t xml:space="preserve"> practice and the adoption of partner-centered treatment approaches </w:t>
      </w:r>
      <w:r w:rsidR="008B09F4" w:rsidRPr="00375C89">
        <w:rPr>
          <w:rFonts w:ascii="Times New Roman" w:hAnsi="Times New Roman" w:cs="Times New Roman"/>
          <w:sz w:val="24"/>
          <w:szCs w:val="24"/>
        </w:rPr>
        <w:t>may</w:t>
      </w:r>
      <w:r w:rsidRPr="00375C89">
        <w:rPr>
          <w:rFonts w:ascii="Times New Roman" w:hAnsi="Times New Roman" w:cs="Times New Roman"/>
          <w:sz w:val="24"/>
          <w:szCs w:val="24"/>
        </w:rPr>
        <w:t xml:space="preserve"> be </w:t>
      </w:r>
      <w:r w:rsidR="008B09F4" w:rsidRPr="00375C89">
        <w:rPr>
          <w:rFonts w:ascii="Times New Roman" w:hAnsi="Times New Roman" w:cs="Times New Roman"/>
          <w:sz w:val="24"/>
          <w:szCs w:val="24"/>
        </w:rPr>
        <w:t>useful</w:t>
      </w:r>
      <w:r w:rsidRPr="00375C89">
        <w:rPr>
          <w:rFonts w:ascii="Times New Roman" w:hAnsi="Times New Roman" w:cs="Times New Roman"/>
          <w:sz w:val="24"/>
          <w:szCs w:val="24"/>
        </w:rPr>
        <w:t xml:space="preserve"> in controlling the global burden of cervicovaginal disease.</w:t>
      </w:r>
    </w:p>
    <w:p w14:paraId="775F99CF" w14:textId="77777777" w:rsidR="006706A4" w:rsidRDefault="006706A4" w:rsidP="006A445A">
      <w:pPr>
        <w:pStyle w:val="ListParagraph"/>
        <w:spacing w:line="360" w:lineRule="auto"/>
        <w:ind w:left="0"/>
        <w:jc w:val="both"/>
        <w:rPr>
          <w:rFonts w:ascii="Times New Roman" w:hAnsi="Times New Roman" w:cs="Times New Roman"/>
          <w:sz w:val="24"/>
          <w:szCs w:val="24"/>
        </w:rPr>
      </w:pPr>
    </w:p>
    <w:p w14:paraId="299C87D2" w14:textId="77777777" w:rsidR="006706A4" w:rsidRDefault="006706A4" w:rsidP="006A445A">
      <w:pPr>
        <w:pStyle w:val="ListParagraph"/>
        <w:spacing w:line="360" w:lineRule="auto"/>
        <w:ind w:left="0"/>
        <w:jc w:val="both"/>
        <w:rPr>
          <w:rFonts w:ascii="Times New Roman" w:hAnsi="Times New Roman" w:cs="Times New Roman"/>
          <w:sz w:val="24"/>
          <w:szCs w:val="24"/>
        </w:rPr>
      </w:pPr>
    </w:p>
    <w:p w14:paraId="7513533C" w14:textId="77777777" w:rsidR="006706A4" w:rsidRPr="00375C89" w:rsidRDefault="006706A4" w:rsidP="006A445A">
      <w:pPr>
        <w:pStyle w:val="ListParagraph"/>
        <w:spacing w:line="360" w:lineRule="auto"/>
        <w:ind w:left="0"/>
        <w:jc w:val="both"/>
        <w:rPr>
          <w:rFonts w:ascii="Times New Roman" w:hAnsi="Times New Roman" w:cs="Times New Roman"/>
          <w:sz w:val="24"/>
          <w:szCs w:val="24"/>
        </w:rPr>
      </w:pPr>
    </w:p>
    <w:p w14:paraId="63C7ED6F" w14:textId="77777777" w:rsidR="006A445A" w:rsidRPr="00375C89" w:rsidRDefault="006A445A" w:rsidP="006A445A">
      <w:pPr>
        <w:pStyle w:val="ListParagraph"/>
        <w:spacing w:line="360" w:lineRule="auto"/>
        <w:ind w:left="0"/>
        <w:jc w:val="both"/>
        <w:rPr>
          <w:rFonts w:ascii="Times New Roman" w:hAnsi="Times New Roman" w:cs="Times New Roman"/>
          <w:sz w:val="24"/>
          <w:szCs w:val="24"/>
        </w:rPr>
      </w:pPr>
    </w:p>
    <w:p w14:paraId="01B4F3A4" w14:textId="7E1DA42A" w:rsidR="006A445A" w:rsidRPr="00375C89" w:rsidRDefault="00F35720" w:rsidP="00F35720">
      <w:pPr>
        <w:pStyle w:val="ListParagraph"/>
        <w:numPr>
          <w:ilvl w:val="0"/>
          <w:numId w:val="20"/>
        </w:numPr>
        <w:spacing w:line="360" w:lineRule="auto"/>
        <w:ind w:left="142" w:hanging="524"/>
        <w:jc w:val="center"/>
        <w:rPr>
          <w:rFonts w:ascii="Times New Roman" w:hAnsi="Times New Roman" w:cs="Times New Roman"/>
          <w:bCs/>
          <w:sz w:val="24"/>
          <w:szCs w:val="24"/>
        </w:rPr>
      </w:pPr>
      <w:r w:rsidRPr="00375C89">
        <w:rPr>
          <w:rFonts w:ascii="Times New Roman" w:hAnsi="Times New Roman" w:cs="Times New Roman"/>
          <w:bCs/>
          <w:sz w:val="24"/>
          <w:szCs w:val="24"/>
        </w:rPr>
        <w:lastRenderedPageBreak/>
        <w:t>CONCLUSION</w:t>
      </w:r>
    </w:p>
    <w:p w14:paraId="664382AE" w14:textId="6B2EE931" w:rsidR="00825251" w:rsidRPr="00375C89" w:rsidRDefault="00014023" w:rsidP="006A445A">
      <w:pPr>
        <w:pStyle w:val="ListParagraph"/>
        <w:spacing w:line="360" w:lineRule="auto"/>
        <w:ind w:left="0"/>
        <w:jc w:val="both"/>
        <w:rPr>
          <w:rFonts w:ascii="Times New Roman" w:hAnsi="Times New Roman" w:cs="Times New Roman"/>
          <w:sz w:val="24"/>
          <w:szCs w:val="24"/>
        </w:rPr>
      </w:pPr>
      <w:r w:rsidRPr="00375C89">
        <w:rPr>
          <w:rFonts w:ascii="Times New Roman" w:hAnsi="Times New Roman" w:cs="Times New Roman"/>
          <w:sz w:val="24"/>
          <w:szCs w:val="24"/>
        </w:rPr>
        <w:t xml:space="preserve">A perusal of literature suggests that dysbiosis is the key responsible for compromised vaginal health. However, African data suggests that </w:t>
      </w:r>
      <w:r w:rsidRPr="00375C89">
        <w:rPr>
          <w:rFonts w:ascii="Times New Roman" w:hAnsi="Times New Roman" w:cs="Times New Roman"/>
          <w:i/>
          <w:sz w:val="24"/>
          <w:szCs w:val="24"/>
        </w:rPr>
        <w:t>Lactobacillus</w:t>
      </w:r>
      <w:r w:rsidRPr="00375C89">
        <w:rPr>
          <w:rFonts w:ascii="Times New Roman" w:hAnsi="Times New Roman" w:cs="Times New Roman"/>
          <w:sz w:val="24"/>
          <w:szCs w:val="24"/>
        </w:rPr>
        <w:t xml:space="preserve"> species may show ethnic specific vaginal flora. If this point is proved beyond doubt employing systematic global studies, some very valuable information may be generated. The fact that migration does not alter association of vaginal microbiota with host means their lateral inheritance. Assuring that this is true, one may then expect that all well-defined ethnic groups would show ethnicity specific vaginal flora.  Notwithstanding these speculations, it would be worthwhile to conduct global study on the overall health of vaginal biome, BV and overall heterogeneity of </w:t>
      </w:r>
      <w:r w:rsidRPr="00375C89">
        <w:rPr>
          <w:rFonts w:ascii="Times New Roman" w:hAnsi="Times New Roman" w:cs="Times New Roman"/>
          <w:i/>
          <w:sz w:val="24"/>
          <w:szCs w:val="24"/>
        </w:rPr>
        <w:t xml:space="preserve">Lactobacillus </w:t>
      </w:r>
      <w:r w:rsidRPr="00375C89">
        <w:rPr>
          <w:rFonts w:ascii="Times New Roman" w:hAnsi="Times New Roman" w:cs="Times New Roman"/>
          <w:sz w:val="24"/>
          <w:szCs w:val="24"/>
        </w:rPr>
        <w:t>species across the spectrum of the society.  Similarly, paradox on SCFA between vaginal and gu</w:t>
      </w:r>
      <w:r w:rsidR="00825251" w:rsidRPr="00375C89">
        <w:rPr>
          <w:rFonts w:ascii="Times New Roman" w:hAnsi="Times New Roman" w:cs="Times New Roman"/>
          <w:sz w:val="24"/>
          <w:szCs w:val="24"/>
        </w:rPr>
        <w:t xml:space="preserve">t biome may also need to be addressed to be able to enhance our undemanding on the women health in general and a specific population in particular. </w:t>
      </w:r>
    </w:p>
    <w:p w14:paraId="194D4247" w14:textId="77777777" w:rsidR="00F35720" w:rsidRPr="00375C89" w:rsidRDefault="00F35720" w:rsidP="006A445A">
      <w:pPr>
        <w:pStyle w:val="ListParagraph"/>
        <w:spacing w:line="360" w:lineRule="auto"/>
        <w:ind w:left="0"/>
        <w:jc w:val="both"/>
        <w:rPr>
          <w:rFonts w:ascii="Times New Roman" w:hAnsi="Times New Roman" w:cs="Times New Roman"/>
          <w:sz w:val="24"/>
          <w:szCs w:val="24"/>
        </w:rPr>
      </w:pPr>
    </w:p>
    <w:p w14:paraId="211B4F12" w14:textId="64208367" w:rsidR="00825251" w:rsidRPr="00375C89" w:rsidRDefault="00F35720" w:rsidP="00F35720">
      <w:pPr>
        <w:pStyle w:val="ListParagraph"/>
        <w:numPr>
          <w:ilvl w:val="0"/>
          <w:numId w:val="20"/>
        </w:numPr>
        <w:spacing w:after="0" w:line="360" w:lineRule="auto"/>
        <w:ind w:left="993" w:hanging="524"/>
        <w:jc w:val="center"/>
        <w:rPr>
          <w:rFonts w:ascii="Times New Roman" w:hAnsi="Times New Roman" w:cs="Times New Roman"/>
          <w:bCs/>
          <w:sz w:val="24"/>
          <w:szCs w:val="24"/>
        </w:rPr>
      </w:pPr>
      <w:r w:rsidRPr="00375C89">
        <w:rPr>
          <w:rFonts w:ascii="Times New Roman" w:hAnsi="Times New Roman" w:cs="Times New Roman"/>
          <w:bCs/>
          <w:sz w:val="24"/>
          <w:szCs w:val="24"/>
        </w:rPr>
        <w:t>ACKNOWLEDGMENT</w:t>
      </w:r>
    </w:p>
    <w:p w14:paraId="643E4303" w14:textId="77777777" w:rsidR="00F35720" w:rsidRPr="00375C89" w:rsidRDefault="00224491" w:rsidP="00F35720">
      <w:pPr>
        <w:spacing w:after="0" w:line="360" w:lineRule="auto"/>
        <w:jc w:val="both"/>
        <w:rPr>
          <w:rFonts w:ascii="Times New Roman" w:hAnsi="Times New Roman" w:cs="Times New Roman"/>
          <w:sz w:val="24"/>
          <w:szCs w:val="24"/>
        </w:rPr>
      </w:pPr>
      <w:r w:rsidRPr="00375C89">
        <w:rPr>
          <w:rFonts w:ascii="Times New Roman" w:hAnsi="Times New Roman" w:cs="Times New Roman"/>
          <w:sz w:val="24"/>
          <w:szCs w:val="24"/>
        </w:rPr>
        <w:t>We thank Professor Farzana Mahdi and Professor Abbas Ali Mahdi for their excellent administrative support and continued academic indulgence that have been a great source of inspiration for us.</w:t>
      </w:r>
    </w:p>
    <w:p w14:paraId="06EF955D" w14:textId="02E92761" w:rsidR="004A01AA" w:rsidRPr="00375C89" w:rsidRDefault="00F35720" w:rsidP="000F0909">
      <w:pPr>
        <w:pStyle w:val="ListParagraph"/>
        <w:numPr>
          <w:ilvl w:val="0"/>
          <w:numId w:val="20"/>
        </w:numPr>
        <w:spacing w:after="0" w:line="360" w:lineRule="auto"/>
        <w:ind w:left="1276" w:hanging="524"/>
        <w:jc w:val="center"/>
        <w:rPr>
          <w:rFonts w:ascii="Times New Roman" w:hAnsi="Times New Roman" w:cs="Times New Roman"/>
          <w:b/>
          <w:bCs/>
          <w:sz w:val="24"/>
          <w:szCs w:val="24"/>
          <w:lang w:val="en-US"/>
        </w:rPr>
      </w:pPr>
      <w:r w:rsidRPr="00375C89">
        <w:rPr>
          <w:rFonts w:ascii="Times New Roman" w:hAnsi="Times New Roman" w:cs="Times New Roman"/>
          <w:sz w:val="24"/>
          <w:szCs w:val="24"/>
          <w:lang w:val="en-US"/>
        </w:rPr>
        <w:t>AUTHOR CONTRIBUTIONS</w:t>
      </w:r>
    </w:p>
    <w:p w14:paraId="3041D845" w14:textId="25CCE166" w:rsidR="004A01AA" w:rsidRPr="00375C89" w:rsidRDefault="004A01AA" w:rsidP="004A01AA">
      <w:pPr>
        <w:spacing w:after="0" w:line="360" w:lineRule="auto"/>
        <w:jc w:val="both"/>
        <w:rPr>
          <w:rFonts w:ascii="Times New Roman" w:hAnsi="Times New Roman" w:cs="Times New Roman"/>
          <w:sz w:val="24"/>
          <w:szCs w:val="24"/>
          <w:lang w:val="en-GB"/>
        </w:rPr>
      </w:pPr>
      <w:r w:rsidRPr="00375C89">
        <w:rPr>
          <w:rFonts w:ascii="Times New Roman" w:hAnsi="Times New Roman" w:cs="Times New Roman"/>
          <w:sz w:val="24"/>
          <w:szCs w:val="24"/>
          <w:lang w:val="en-GB"/>
        </w:rPr>
        <w:t>Shilpa Sharma: Conceptualization and design.</w:t>
      </w:r>
      <w:r w:rsidR="005F4F6E" w:rsidRPr="00375C89">
        <w:rPr>
          <w:rFonts w:ascii="Times New Roman" w:hAnsi="Times New Roman" w:cs="Times New Roman"/>
          <w:sz w:val="24"/>
          <w:szCs w:val="24"/>
          <w:lang w:val="en-GB"/>
        </w:rPr>
        <w:t xml:space="preserve"> </w:t>
      </w:r>
      <w:r w:rsidRPr="00375C89">
        <w:rPr>
          <w:rFonts w:ascii="Times New Roman" w:hAnsi="Times New Roman" w:cs="Times New Roman"/>
          <w:sz w:val="24"/>
          <w:szCs w:val="24"/>
          <w:lang w:val="en-GB"/>
        </w:rPr>
        <w:t>Asma Imran Ansari, Wajiha Zehra: Writing- Original draft preparation, Zoya Hussain: Data curation, Sher Ali: Supervision, reviewing.</w:t>
      </w:r>
    </w:p>
    <w:p w14:paraId="353EE56B" w14:textId="77777777" w:rsidR="000F0909" w:rsidRPr="00375C89" w:rsidRDefault="000F0909" w:rsidP="004A01AA">
      <w:pPr>
        <w:spacing w:after="0" w:line="360" w:lineRule="auto"/>
        <w:jc w:val="both"/>
        <w:rPr>
          <w:rFonts w:ascii="Times New Roman" w:hAnsi="Times New Roman" w:cs="Times New Roman"/>
          <w:b/>
          <w:bCs/>
          <w:sz w:val="24"/>
          <w:szCs w:val="24"/>
          <w:lang w:val="en-GB"/>
        </w:rPr>
      </w:pPr>
    </w:p>
    <w:p w14:paraId="0948BB76" w14:textId="4269E1AF" w:rsidR="00C5210E" w:rsidRPr="00375C89" w:rsidRDefault="000F0909" w:rsidP="000F0909">
      <w:pPr>
        <w:pStyle w:val="ListParagraph"/>
        <w:numPr>
          <w:ilvl w:val="0"/>
          <w:numId w:val="20"/>
        </w:numPr>
        <w:spacing w:after="0" w:line="360" w:lineRule="auto"/>
        <w:ind w:hanging="524"/>
        <w:jc w:val="center"/>
        <w:rPr>
          <w:rFonts w:ascii="Times New Roman" w:hAnsi="Times New Roman" w:cs="Times New Roman"/>
          <w:sz w:val="24"/>
          <w:szCs w:val="24"/>
          <w:lang w:val="en-GB"/>
        </w:rPr>
      </w:pPr>
      <w:r w:rsidRPr="00375C89">
        <w:rPr>
          <w:rFonts w:ascii="Times New Roman" w:hAnsi="Times New Roman" w:cs="Times New Roman"/>
          <w:sz w:val="24"/>
          <w:szCs w:val="24"/>
          <w:lang w:val="en-GB"/>
        </w:rPr>
        <w:t>DATA AVAILABILITY STATEMENT</w:t>
      </w:r>
    </w:p>
    <w:p w14:paraId="5847F180" w14:textId="73617BC2" w:rsidR="00C5210E" w:rsidRPr="00375C89" w:rsidRDefault="00C5210E" w:rsidP="004A01AA">
      <w:pPr>
        <w:spacing w:after="0" w:line="360" w:lineRule="auto"/>
        <w:jc w:val="both"/>
        <w:rPr>
          <w:rFonts w:ascii="Times New Roman" w:hAnsi="Times New Roman" w:cs="Times New Roman"/>
          <w:sz w:val="24"/>
          <w:szCs w:val="24"/>
          <w:lang w:val="en-GB"/>
        </w:rPr>
      </w:pPr>
      <w:r w:rsidRPr="00375C89">
        <w:rPr>
          <w:rFonts w:ascii="Times New Roman" w:hAnsi="Times New Roman" w:cs="Times New Roman"/>
          <w:sz w:val="24"/>
          <w:szCs w:val="24"/>
          <w:lang w:val="en-GB"/>
        </w:rPr>
        <w:t>NA</w:t>
      </w:r>
    </w:p>
    <w:p w14:paraId="1C2D69B7" w14:textId="00B52DA2" w:rsidR="00793A2B" w:rsidRPr="00375C89" w:rsidRDefault="00793A2B" w:rsidP="0036275C">
      <w:pPr>
        <w:spacing w:after="0" w:line="360" w:lineRule="auto"/>
        <w:jc w:val="both"/>
        <w:rPr>
          <w:rFonts w:ascii="Times New Roman" w:hAnsi="Times New Roman" w:cs="Times New Roman"/>
          <w:sz w:val="24"/>
          <w:szCs w:val="24"/>
        </w:rPr>
      </w:pPr>
      <w:r w:rsidRPr="00375C89">
        <w:rPr>
          <w:rFonts w:ascii="Times New Roman" w:hAnsi="Times New Roman" w:cs="Times New Roman"/>
          <w:sz w:val="24"/>
          <w:szCs w:val="24"/>
        </w:rPr>
        <w:br w:type="page"/>
      </w:r>
    </w:p>
    <w:p w14:paraId="6DDDD094" w14:textId="6431D089" w:rsidR="005954F7" w:rsidRPr="00375C89" w:rsidRDefault="000F0909" w:rsidP="000F0909">
      <w:pPr>
        <w:pStyle w:val="ListParagraph"/>
        <w:numPr>
          <w:ilvl w:val="0"/>
          <w:numId w:val="20"/>
        </w:numPr>
        <w:spacing w:line="360" w:lineRule="auto"/>
        <w:ind w:hanging="666"/>
        <w:jc w:val="center"/>
        <w:rPr>
          <w:rFonts w:ascii="Times New Roman" w:hAnsi="Times New Roman" w:cs="Times New Roman"/>
          <w:bCs/>
          <w:sz w:val="24"/>
          <w:szCs w:val="24"/>
        </w:rPr>
      </w:pPr>
      <w:r w:rsidRPr="00375C89">
        <w:rPr>
          <w:rFonts w:ascii="Times New Roman" w:hAnsi="Times New Roman" w:cs="Times New Roman"/>
          <w:bCs/>
          <w:sz w:val="24"/>
          <w:szCs w:val="24"/>
        </w:rPr>
        <w:lastRenderedPageBreak/>
        <w:t>REFERENCES</w:t>
      </w:r>
    </w:p>
    <w:p w14:paraId="07497F65"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proofErr w:type="spellStart"/>
      <w:r w:rsidRPr="00375C89">
        <w:rPr>
          <w:rFonts w:ascii="Times New Roman" w:eastAsia="Times New Roman" w:hAnsi="Times New Roman" w:cs="Times New Roman"/>
          <w:sz w:val="24"/>
          <w:szCs w:val="24"/>
          <w:lang w:eastAsia="en-IN"/>
        </w:rPr>
        <w:t>Amabebe</w:t>
      </w:r>
      <w:proofErr w:type="spellEnd"/>
      <w:r w:rsidRPr="00375C89">
        <w:rPr>
          <w:rFonts w:ascii="Times New Roman" w:eastAsia="Times New Roman" w:hAnsi="Times New Roman" w:cs="Times New Roman"/>
          <w:sz w:val="24"/>
          <w:szCs w:val="24"/>
          <w:lang w:eastAsia="en-IN"/>
        </w:rPr>
        <w:t xml:space="preserve"> E, </w:t>
      </w:r>
      <w:proofErr w:type="spellStart"/>
      <w:r w:rsidRPr="00375C89">
        <w:rPr>
          <w:rFonts w:ascii="Times New Roman" w:eastAsia="Times New Roman" w:hAnsi="Times New Roman" w:cs="Times New Roman"/>
          <w:sz w:val="24"/>
          <w:szCs w:val="24"/>
          <w:lang w:eastAsia="en-IN"/>
        </w:rPr>
        <w:t>Anumba</w:t>
      </w:r>
      <w:proofErr w:type="spellEnd"/>
      <w:r w:rsidRPr="00375C89">
        <w:rPr>
          <w:rFonts w:ascii="Times New Roman" w:eastAsia="Times New Roman" w:hAnsi="Times New Roman" w:cs="Times New Roman"/>
          <w:sz w:val="24"/>
          <w:szCs w:val="24"/>
          <w:lang w:eastAsia="en-IN"/>
        </w:rPr>
        <w:t xml:space="preserve"> DO. The vaginal microenvironment: the physiologic role of lactobacilli. Front Med (Lausanne). </w:t>
      </w:r>
      <w:proofErr w:type="gramStart"/>
      <w:r w:rsidRPr="00375C89">
        <w:rPr>
          <w:rFonts w:ascii="Times New Roman" w:eastAsia="Times New Roman" w:hAnsi="Times New Roman" w:cs="Times New Roman"/>
          <w:sz w:val="24"/>
          <w:szCs w:val="24"/>
          <w:lang w:eastAsia="en-IN"/>
        </w:rPr>
        <w:t>2018;5:181</w:t>
      </w:r>
      <w:proofErr w:type="gramEnd"/>
      <w:r w:rsidRPr="00375C89">
        <w:rPr>
          <w:rFonts w:ascii="Times New Roman" w:eastAsia="Times New Roman" w:hAnsi="Times New Roman" w:cs="Times New Roman"/>
          <w:sz w:val="24"/>
          <w:szCs w:val="24"/>
          <w:lang w:eastAsia="en-IN"/>
        </w:rPr>
        <w:t xml:space="preserve">. </w:t>
      </w:r>
    </w:p>
    <w:p w14:paraId="29A8F07A"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proofErr w:type="spellStart"/>
      <w:r w:rsidRPr="00375C89">
        <w:rPr>
          <w:rFonts w:ascii="Times New Roman" w:eastAsia="Times New Roman" w:hAnsi="Times New Roman" w:cs="Times New Roman"/>
          <w:sz w:val="24"/>
          <w:szCs w:val="24"/>
          <w:lang w:eastAsia="en-IN"/>
        </w:rPr>
        <w:t>Amabebe</w:t>
      </w:r>
      <w:proofErr w:type="spellEnd"/>
      <w:r w:rsidRPr="00375C89">
        <w:rPr>
          <w:rFonts w:ascii="Times New Roman" w:eastAsia="Times New Roman" w:hAnsi="Times New Roman" w:cs="Times New Roman"/>
          <w:sz w:val="24"/>
          <w:szCs w:val="24"/>
          <w:lang w:eastAsia="en-IN"/>
        </w:rPr>
        <w:t xml:space="preserve"> E, </w:t>
      </w:r>
      <w:proofErr w:type="spellStart"/>
      <w:r w:rsidRPr="00375C89">
        <w:rPr>
          <w:rFonts w:ascii="Times New Roman" w:eastAsia="Times New Roman" w:hAnsi="Times New Roman" w:cs="Times New Roman"/>
          <w:sz w:val="24"/>
          <w:szCs w:val="24"/>
          <w:lang w:eastAsia="en-IN"/>
        </w:rPr>
        <w:t>Anumba</w:t>
      </w:r>
      <w:proofErr w:type="spellEnd"/>
      <w:r w:rsidRPr="00375C89">
        <w:rPr>
          <w:rFonts w:ascii="Times New Roman" w:eastAsia="Times New Roman" w:hAnsi="Times New Roman" w:cs="Times New Roman"/>
          <w:sz w:val="24"/>
          <w:szCs w:val="24"/>
          <w:lang w:eastAsia="en-IN"/>
        </w:rPr>
        <w:t xml:space="preserve"> DOC. Female gut and genital tract microbiota-induced crosstalk and differential effects of short-chain fatty acids on immune sequelae. Front Immunol. </w:t>
      </w:r>
      <w:proofErr w:type="gramStart"/>
      <w:r w:rsidRPr="00375C89">
        <w:rPr>
          <w:rFonts w:ascii="Times New Roman" w:eastAsia="Times New Roman" w:hAnsi="Times New Roman" w:cs="Times New Roman"/>
          <w:sz w:val="24"/>
          <w:szCs w:val="24"/>
          <w:lang w:eastAsia="en-IN"/>
        </w:rPr>
        <w:t>2020;11:2184</w:t>
      </w:r>
      <w:proofErr w:type="gramEnd"/>
      <w:r w:rsidRPr="00375C89">
        <w:rPr>
          <w:rFonts w:ascii="Times New Roman" w:eastAsia="Times New Roman" w:hAnsi="Times New Roman" w:cs="Times New Roman"/>
          <w:sz w:val="24"/>
          <w:szCs w:val="24"/>
          <w:lang w:eastAsia="en-IN"/>
        </w:rPr>
        <w:t xml:space="preserve">. doi:10.3389/fimmu.2020.02184 </w:t>
      </w:r>
    </w:p>
    <w:p w14:paraId="511E474B"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Bautista J, Altamirano-Colina A, López-Cortés A. The vaginal microbiome in HPV persistence and cervical cancer progression. Front Cell Infect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w:t>
      </w:r>
      <w:proofErr w:type="gramStart"/>
      <w:r w:rsidRPr="00375C89">
        <w:rPr>
          <w:rFonts w:ascii="Times New Roman" w:eastAsia="Times New Roman" w:hAnsi="Times New Roman" w:cs="Times New Roman"/>
          <w:sz w:val="24"/>
          <w:szCs w:val="24"/>
          <w:lang w:eastAsia="en-IN"/>
        </w:rPr>
        <w:t>2025;15:1634251</w:t>
      </w:r>
      <w:proofErr w:type="gramEnd"/>
      <w:r w:rsidRPr="00375C89">
        <w:rPr>
          <w:rFonts w:ascii="Times New Roman" w:eastAsia="Times New Roman" w:hAnsi="Times New Roman" w:cs="Times New Roman"/>
          <w:sz w:val="24"/>
          <w:szCs w:val="24"/>
          <w:lang w:eastAsia="en-IN"/>
        </w:rPr>
        <w:t xml:space="preserve">. doi:10.3389/fcimb.2025.1634251 </w:t>
      </w:r>
    </w:p>
    <w:p w14:paraId="11A1F352"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proofErr w:type="spellStart"/>
      <w:r w:rsidRPr="00375C89">
        <w:rPr>
          <w:rFonts w:ascii="Times New Roman" w:eastAsia="Times New Roman" w:hAnsi="Times New Roman" w:cs="Times New Roman"/>
          <w:sz w:val="24"/>
          <w:szCs w:val="24"/>
          <w:lang w:eastAsia="en-IN"/>
        </w:rPr>
        <w:t>Bayigga</w:t>
      </w:r>
      <w:proofErr w:type="spellEnd"/>
      <w:r w:rsidRPr="00375C89">
        <w:rPr>
          <w:rFonts w:ascii="Times New Roman" w:eastAsia="Times New Roman" w:hAnsi="Times New Roman" w:cs="Times New Roman"/>
          <w:sz w:val="24"/>
          <w:szCs w:val="24"/>
          <w:lang w:eastAsia="en-IN"/>
        </w:rPr>
        <w:t xml:space="preserve"> L, </w:t>
      </w:r>
      <w:proofErr w:type="spellStart"/>
      <w:r w:rsidRPr="00375C89">
        <w:rPr>
          <w:rFonts w:ascii="Times New Roman" w:eastAsia="Times New Roman" w:hAnsi="Times New Roman" w:cs="Times New Roman"/>
          <w:sz w:val="24"/>
          <w:szCs w:val="24"/>
          <w:lang w:eastAsia="en-IN"/>
        </w:rPr>
        <w:t>Kateete</w:t>
      </w:r>
      <w:proofErr w:type="spellEnd"/>
      <w:r w:rsidRPr="00375C89">
        <w:rPr>
          <w:rFonts w:ascii="Times New Roman" w:eastAsia="Times New Roman" w:hAnsi="Times New Roman" w:cs="Times New Roman"/>
          <w:sz w:val="24"/>
          <w:szCs w:val="24"/>
          <w:lang w:eastAsia="en-IN"/>
        </w:rPr>
        <w:t xml:space="preserve"> DP, Anderson DJ, </w:t>
      </w:r>
      <w:proofErr w:type="spellStart"/>
      <w:r w:rsidRPr="00375C89">
        <w:rPr>
          <w:rFonts w:ascii="Times New Roman" w:eastAsia="Times New Roman" w:hAnsi="Times New Roman" w:cs="Times New Roman"/>
          <w:sz w:val="24"/>
          <w:szCs w:val="24"/>
          <w:lang w:eastAsia="en-IN"/>
        </w:rPr>
        <w:t>Sekikubo</w:t>
      </w:r>
      <w:proofErr w:type="spellEnd"/>
      <w:r w:rsidRPr="00375C89">
        <w:rPr>
          <w:rFonts w:ascii="Times New Roman" w:eastAsia="Times New Roman" w:hAnsi="Times New Roman" w:cs="Times New Roman"/>
          <w:sz w:val="24"/>
          <w:szCs w:val="24"/>
          <w:lang w:eastAsia="en-IN"/>
        </w:rPr>
        <w:t xml:space="preserve"> M, Nakanjako D. Diversity of vaginal microbiota in sub-Saharan Africa and its effects on HIV transmission and prevention. Am J Obstet Gynecol. 2019;220(2):155-166. doi:10.1016/j.ajog.2018.10.014 </w:t>
      </w:r>
    </w:p>
    <w:p w14:paraId="0D0059EC" w14:textId="77777777" w:rsidR="002F3AD3" w:rsidRPr="00DA2F15" w:rsidRDefault="002F3AD3" w:rsidP="002F3AD3">
      <w:pPr>
        <w:spacing w:after="0" w:line="240" w:lineRule="auto"/>
        <w:jc w:val="both"/>
        <w:rPr>
          <w:rFonts w:ascii="Times New Roman" w:eastAsia="Times New Roman" w:hAnsi="Times New Roman" w:cs="Times New Roman"/>
          <w:sz w:val="24"/>
          <w:szCs w:val="24"/>
          <w:lang w:val="pt-PT" w:eastAsia="en-IN"/>
        </w:rPr>
      </w:pPr>
      <w:proofErr w:type="spellStart"/>
      <w:r w:rsidRPr="00375C89">
        <w:rPr>
          <w:rFonts w:ascii="Times New Roman" w:eastAsia="Times New Roman" w:hAnsi="Times New Roman" w:cs="Times New Roman"/>
          <w:sz w:val="24"/>
          <w:szCs w:val="24"/>
          <w:lang w:eastAsia="en-IN"/>
        </w:rPr>
        <w:t>Bokulich</w:t>
      </w:r>
      <w:proofErr w:type="spellEnd"/>
      <w:r w:rsidRPr="00375C89">
        <w:rPr>
          <w:rFonts w:ascii="Times New Roman" w:eastAsia="Times New Roman" w:hAnsi="Times New Roman" w:cs="Times New Roman"/>
          <w:sz w:val="24"/>
          <w:szCs w:val="24"/>
          <w:lang w:eastAsia="en-IN"/>
        </w:rPr>
        <w:t xml:space="preserve"> NA, </w:t>
      </w:r>
      <w:proofErr w:type="spellStart"/>
      <w:r w:rsidRPr="00375C89">
        <w:rPr>
          <w:rFonts w:ascii="Times New Roman" w:eastAsia="Times New Roman" w:hAnsi="Times New Roman" w:cs="Times New Roman"/>
          <w:sz w:val="24"/>
          <w:szCs w:val="24"/>
          <w:lang w:eastAsia="en-IN"/>
        </w:rPr>
        <w:t>Łaniewski</w:t>
      </w:r>
      <w:proofErr w:type="spellEnd"/>
      <w:r w:rsidRPr="00375C89">
        <w:rPr>
          <w:rFonts w:ascii="Times New Roman" w:eastAsia="Times New Roman" w:hAnsi="Times New Roman" w:cs="Times New Roman"/>
          <w:sz w:val="24"/>
          <w:szCs w:val="24"/>
          <w:lang w:eastAsia="en-IN"/>
        </w:rPr>
        <w:t xml:space="preserve"> P, Adamov A, Chase DM, Caporaso JG, Herbst-Kralovetz MM. Multi-omics data integration reveals metabolome as the top predictor of the cervicovaginal microenvironment. </w:t>
      </w:r>
      <w:r w:rsidRPr="00DA2F15">
        <w:rPr>
          <w:rFonts w:ascii="Times New Roman" w:eastAsia="Times New Roman" w:hAnsi="Times New Roman" w:cs="Times New Roman"/>
          <w:sz w:val="24"/>
          <w:szCs w:val="24"/>
          <w:lang w:val="pt-PT" w:eastAsia="en-IN"/>
        </w:rPr>
        <w:t xml:space="preserve">PLoS Comput Biol. 2022;18(2):e1009876. doi:10.1371/journal.pcbi.1009876 </w:t>
      </w:r>
    </w:p>
    <w:p w14:paraId="61867100"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DA2F15">
        <w:rPr>
          <w:rFonts w:ascii="Times New Roman" w:eastAsia="Times New Roman" w:hAnsi="Times New Roman" w:cs="Times New Roman"/>
          <w:sz w:val="24"/>
          <w:szCs w:val="24"/>
          <w:lang w:val="pt-PT" w:eastAsia="en-IN"/>
        </w:rPr>
        <w:t xml:space="preserve">Borrego-Ruiz A, Borrego JJ. </w:t>
      </w:r>
      <w:r w:rsidRPr="00375C89">
        <w:rPr>
          <w:rFonts w:ascii="Times New Roman" w:eastAsia="Times New Roman" w:hAnsi="Times New Roman" w:cs="Times New Roman"/>
          <w:sz w:val="24"/>
          <w:szCs w:val="24"/>
          <w:lang w:eastAsia="en-IN"/>
        </w:rPr>
        <w:t xml:space="preserve">Microbial pathogens linked to vaginal microbiome dysbiosis and therapeutic tools for their treatment. Acta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Hellenica. 2025;70(2):19. </w:t>
      </w:r>
    </w:p>
    <w:p w14:paraId="7DA9E4AA"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Boyle AK, </w:t>
      </w:r>
      <w:proofErr w:type="spellStart"/>
      <w:r w:rsidRPr="00375C89">
        <w:rPr>
          <w:rFonts w:ascii="Times New Roman" w:eastAsia="Times New Roman" w:hAnsi="Times New Roman" w:cs="Times New Roman"/>
          <w:sz w:val="24"/>
          <w:szCs w:val="24"/>
          <w:lang w:eastAsia="en-IN"/>
        </w:rPr>
        <w:t>Tetorou</w:t>
      </w:r>
      <w:proofErr w:type="spellEnd"/>
      <w:r w:rsidRPr="00375C89">
        <w:rPr>
          <w:rFonts w:ascii="Times New Roman" w:eastAsia="Times New Roman" w:hAnsi="Times New Roman" w:cs="Times New Roman"/>
          <w:sz w:val="24"/>
          <w:szCs w:val="24"/>
          <w:lang w:eastAsia="en-IN"/>
        </w:rPr>
        <w:t xml:space="preserve"> K, </w:t>
      </w:r>
      <w:proofErr w:type="spellStart"/>
      <w:r w:rsidRPr="00375C89">
        <w:rPr>
          <w:rFonts w:ascii="Times New Roman" w:eastAsia="Times New Roman" w:hAnsi="Times New Roman" w:cs="Times New Roman"/>
          <w:sz w:val="24"/>
          <w:szCs w:val="24"/>
          <w:lang w:eastAsia="en-IN"/>
        </w:rPr>
        <w:t>Suff</w:t>
      </w:r>
      <w:proofErr w:type="spellEnd"/>
      <w:r w:rsidRPr="00375C89">
        <w:rPr>
          <w:rFonts w:ascii="Times New Roman" w:eastAsia="Times New Roman" w:hAnsi="Times New Roman" w:cs="Times New Roman"/>
          <w:sz w:val="24"/>
          <w:szCs w:val="24"/>
          <w:lang w:eastAsia="en-IN"/>
        </w:rPr>
        <w:t xml:space="preserve"> N, Beecroft L, </w:t>
      </w:r>
      <w:proofErr w:type="spellStart"/>
      <w:r w:rsidRPr="00375C89">
        <w:rPr>
          <w:rFonts w:ascii="Times New Roman" w:eastAsia="Times New Roman" w:hAnsi="Times New Roman" w:cs="Times New Roman"/>
          <w:sz w:val="24"/>
          <w:szCs w:val="24"/>
          <w:lang w:eastAsia="en-IN"/>
        </w:rPr>
        <w:t>Mazzaschi</w:t>
      </w:r>
      <w:proofErr w:type="spellEnd"/>
      <w:r w:rsidRPr="00375C89">
        <w:rPr>
          <w:rFonts w:ascii="Times New Roman" w:eastAsia="Times New Roman" w:hAnsi="Times New Roman" w:cs="Times New Roman"/>
          <w:sz w:val="24"/>
          <w:szCs w:val="24"/>
          <w:lang w:eastAsia="en-IN"/>
        </w:rPr>
        <w:t xml:space="preserve"> M, Karda R, et al. Ascending vaginal infection in mice induces preterm birth and neonatal morbidity. Am J </w:t>
      </w:r>
      <w:proofErr w:type="spellStart"/>
      <w:r w:rsidRPr="00375C89">
        <w:rPr>
          <w:rFonts w:ascii="Times New Roman" w:eastAsia="Times New Roman" w:hAnsi="Times New Roman" w:cs="Times New Roman"/>
          <w:sz w:val="24"/>
          <w:szCs w:val="24"/>
          <w:lang w:eastAsia="en-IN"/>
        </w:rPr>
        <w:t>Pathol</w:t>
      </w:r>
      <w:proofErr w:type="spellEnd"/>
      <w:r w:rsidRPr="00375C89">
        <w:rPr>
          <w:rFonts w:ascii="Times New Roman" w:eastAsia="Times New Roman" w:hAnsi="Times New Roman" w:cs="Times New Roman"/>
          <w:sz w:val="24"/>
          <w:szCs w:val="24"/>
          <w:lang w:eastAsia="en-IN"/>
        </w:rPr>
        <w:t xml:space="preserve">. 2025;195(5):891-906. doi:10.1016/j.ajpath.2025.01.008 </w:t>
      </w:r>
    </w:p>
    <w:p w14:paraId="79B63B86"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Bradshaw CS, Brotman RM. Making inroads into improving treatment of bacterial vaginosis—striving for long-term cure. BMC Infect Dis. </w:t>
      </w:r>
      <w:proofErr w:type="gramStart"/>
      <w:r w:rsidRPr="00375C89">
        <w:rPr>
          <w:rFonts w:ascii="Times New Roman" w:eastAsia="Times New Roman" w:hAnsi="Times New Roman" w:cs="Times New Roman"/>
          <w:sz w:val="24"/>
          <w:szCs w:val="24"/>
          <w:lang w:eastAsia="en-IN"/>
        </w:rPr>
        <w:t>2015;15:292</w:t>
      </w:r>
      <w:proofErr w:type="gramEnd"/>
      <w:r w:rsidRPr="00375C89">
        <w:rPr>
          <w:rFonts w:ascii="Times New Roman" w:eastAsia="Times New Roman" w:hAnsi="Times New Roman" w:cs="Times New Roman"/>
          <w:sz w:val="24"/>
          <w:szCs w:val="24"/>
          <w:lang w:eastAsia="en-IN"/>
        </w:rPr>
        <w:t xml:space="preserve">. doi:10.1186/s12879-015-1027-4 </w:t>
      </w:r>
    </w:p>
    <w:p w14:paraId="5F1687ED"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Bradshaw CS, Sobel JD. Current treatment of bacterial vaginosis—limitations and need for innovation. J Infect Dis. 2016;214(Suppl 1</w:t>
      </w:r>
      <w:proofErr w:type="gramStart"/>
      <w:r w:rsidRPr="00375C89">
        <w:rPr>
          <w:rFonts w:ascii="Times New Roman" w:eastAsia="Times New Roman" w:hAnsi="Times New Roman" w:cs="Times New Roman"/>
          <w:sz w:val="24"/>
          <w:szCs w:val="24"/>
          <w:lang w:eastAsia="en-IN"/>
        </w:rPr>
        <w:t>):S</w:t>
      </w:r>
      <w:proofErr w:type="gramEnd"/>
      <w:r w:rsidRPr="00375C89">
        <w:rPr>
          <w:rFonts w:ascii="Times New Roman" w:eastAsia="Times New Roman" w:hAnsi="Times New Roman" w:cs="Times New Roman"/>
          <w:sz w:val="24"/>
          <w:szCs w:val="24"/>
          <w:lang w:eastAsia="en-IN"/>
        </w:rPr>
        <w:t xml:space="preserve">14-S20. </w:t>
      </w:r>
    </w:p>
    <w:p w14:paraId="7E697FDC"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Cao J, Ma W, Chang X, et al. Probiotics may improve vaginal microbiota, metabolic disorders and ovarian function-related markers by modulating gut microbiota in POI mice. BMC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w:t>
      </w:r>
      <w:proofErr w:type="gramStart"/>
      <w:r w:rsidRPr="00375C89">
        <w:rPr>
          <w:rFonts w:ascii="Times New Roman" w:eastAsia="Times New Roman" w:hAnsi="Times New Roman" w:cs="Times New Roman"/>
          <w:sz w:val="24"/>
          <w:szCs w:val="24"/>
          <w:lang w:eastAsia="en-IN"/>
        </w:rPr>
        <w:t>2025;25:375</w:t>
      </w:r>
      <w:proofErr w:type="gramEnd"/>
      <w:r w:rsidRPr="00375C89">
        <w:rPr>
          <w:rFonts w:ascii="Times New Roman" w:eastAsia="Times New Roman" w:hAnsi="Times New Roman" w:cs="Times New Roman"/>
          <w:sz w:val="24"/>
          <w:szCs w:val="24"/>
          <w:lang w:eastAsia="en-IN"/>
        </w:rPr>
        <w:t xml:space="preserve">. doi:10.1186/s12866-025-04097-y </w:t>
      </w:r>
    </w:p>
    <w:p w14:paraId="305B2949"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Cao LB, Leung CK, Law PW, </w:t>
      </w:r>
      <w:proofErr w:type="spellStart"/>
      <w:r w:rsidRPr="00375C89">
        <w:rPr>
          <w:rFonts w:ascii="Times New Roman" w:eastAsia="Times New Roman" w:hAnsi="Times New Roman" w:cs="Times New Roman"/>
          <w:sz w:val="24"/>
          <w:szCs w:val="24"/>
          <w:lang w:eastAsia="en-IN"/>
        </w:rPr>
        <w:t>Lv</w:t>
      </w:r>
      <w:proofErr w:type="spellEnd"/>
      <w:r w:rsidRPr="00375C89">
        <w:rPr>
          <w:rFonts w:ascii="Times New Roman" w:eastAsia="Times New Roman" w:hAnsi="Times New Roman" w:cs="Times New Roman"/>
          <w:sz w:val="24"/>
          <w:szCs w:val="24"/>
          <w:lang w:eastAsia="en-IN"/>
        </w:rPr>
        <w:t xml:space="preserve"> Y, Ng CH, Liu HB, et al. Systemic changes in a mouse model of VCD-induced premature ovarian failure. Life Sci. </w:t>
      </w:r>
      <w:proofErr w:type="gramStart"/>
      <w:r w:rsidRPr="00375C89">
        <w:rPr>
          <w:rFonts w:ascii="Times New Roman" w:eastAsia="Times New Roman" w:hAnsi="Times New Roman" w:cs="Times New Roman"/>
          <w:sz w:val="24"/>
          <w:szCs w:val="24"/>
          <w:lang w:eastAsia="en-IN"/>
        </w:rPr>
        <w:t>2020;262:118543</w:t>
      </w:r>
      <w:proofErr w:type="gramEnd"/>
      <w:r w:rsidRPr="00375C89">
        <w:rPr>
          <w:rFonts w:ascii="Times New Roman" w:eastAsia="Times New Roman" w:hAnsi="Times New Roman" w:cs="Times New Roman"/>
          <w:sz w:val="24"/>
          <w:szCs w:val="24"/>
          <w:lang w:eastAsia="en-IN"/>
        </w:rPr>
        <w:t xml:space="preserve">. </w:t>
      </w:r>
    </w:p>
    <w:p w14:paraId="344BB3DB"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Centers for Disease Control and Prevention. Sexually transmitted infections treatment guidelines, 2021. MMWR </w:t>
      </w:r>
      <w:proofErr w:type="spellStart"/>
      <w:r w:rsidRPr="00375C89">
        <w:rPr>
          <w:rFonts w:ascii="Times New Roman" w:eastAsia="Times New Roman" w:hAnsi="Times New Roman" w:cs="Times New Roman"/>
          <w:sz w:val="24"/>
          <w:szCs w:val="24"/>
          <w:lang w:eastAsia="en-IN"/>
        </w:rPr>
        <w:t>Recomm</w:t>
      </w:r>
      <w:proofErr w:type="spellEnd"/>
      <w:r w:rsidRPr="00375C89">
        <w:rPr>
          <w:rFonts w:ascii="Times New Roman" w:eastAsia="Times New Roman" w:hAnsi="Times New Roman" w:cs="Times New Roman"/>
          <w:sz w:val="24"/>
          <w:szCs w:val="24"/>
          <w:lang w:eastAsia="en-IN"/>
        </w:rPr>
        <w:t xml:space="preserve"> Rep. 2021. Available from: https://www.cdc.gov </w:t>
      </w:r>
    </w:p>
    <w:p w14:paraId="573FA655"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proofErr w:type="spellStart"/>
      <w:r w:rsidRPr="00375C89">
        <w:rPr>
          <w:rFonts w:ascii="Times New Roman" w:eastAsia="Times New Roman" w:hAnsi="Times New Roman" w:cs="Times New Roman"/>
          <w:sz w:val="24"/>
          <w:szCs w:val="24"/>
          <w:lang w:eastAsia="en-IN"/>
        </w:rPr>
        <w:t>Chadchan</w:t>
      </w:r>
      <w:proofErr w:type="spellEnd"/>
      <w:r w:rsidRPr="00375C89">
        <w:rPr>
          <w:rFonts w:ascii="Times New Roman" w:eastAsia="Times New Roman" w:hAnsi="Times New Roman" w:cs="Times New Roman"/>
          <w:sz w:val="24"/>
          <w:szCs w:val="24"/>
          <w:lang w:eastAsia="en-IN"/>
        </w:rPr>
        <w:t xml:space="preserve"> SB, Popli P, Ambati CR, Tycksen E, Han SJ, Bulun SE, et al. Gut microbiota–derived short-chain fatty acids protect against the progression of endometriosis. Life Sci Alliance. 2021;4(12</w:t>
      </w:r>
      <w:proofErr w:type="gramStart"/>
      <w:r w:rsidRPr="00375C89">
        <w:rPr>
          <w:rFonts w:ascii="Times New Roman" w:eastAsia="Times New Roman" w:hAnsi="Times New Roman" w:cs="Times New Roman"/>
          <w:sz w:val="24"/>
          <w:szCs w:val="24"/>
          <w:lang w:eastAsia="en-IN"/>
        </w:rPr>
        <w:t>):e</w:t>
      </w:r>
      <w:proofErr w:type="gramEnd"/>
      <w:r w:rsidRPr="00375C89">
        <w:rPr>
          <w:rFonts w:ascii="Times New Roman" w:eastAsia="Times New Roman" w:hAnsi="Times New Roman" w:cs="Times New Roman"/>
          <w:sz w:val="24"/>
          <w:szCs w:val="24"/>
          <w:lang w:eastAsia="en-IN"/>
        </w:rPr>
        <w:t>202101224.</w:t>
      </w:r>
    </w:p>
    <w:p w14:paraId="3FDCF98C"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Deng Y, Li Y, Liu T, Wu F. Interaction of vaginal microbiota and biomarkers in premature rupture of membranes: from bench to bedside. Front Immunol. </w:t>
      </w:r>
      <w:proofErr w:type="gramStart"/>
      <w:r w:rsidRPr="00375C89">
        <w:rPr>
          <w:rFonts w:ascii="Times New Roman" w:eastAsia="Times New Roman" w:hAnsi="Times New Roman" w:cs="Times New Roman"/>
          <w:sz w:val="24"/>
          <w:szCs w:val="24"/>
          <w:lang w:eastAsia="en-IN"/>
        </w:rPr>
        <w:t>2025;16:1642942</w:t>
      </w:r>
      <w:proofErr w:type="gramEnd"/>
      <w:r w:rsidRPr="00375C89">
        <w:rPr>
          <w:rFonts w:ascii="Times New Roman" w:eastAsia="Times New Roman" w:hAnsi="Times New Roman" w:cs="Times New Roman"/>
          <w:sz w:val="24"/>
          <w:szCs w:val="24"/>
          <w:lang w:eastAsia="en-IN"/>
        </w:rPr>
        <w:t xml:space="preserve">. doi:10.3389/fimmu.2025.1642942 </w:t>
      </w:r>
    </w:p>
    <w:p w14:paraId="1B5E5491"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Dos Santos SJ, Copeland C, </w:t>
      </w:r>
      <w:proofErr w:type="spellStart"/>
      <w:r w:rsidRPr="00375C89">
        <w:rPr>
          <w:rFonts w:ascii="Times New Roman" w:eastAsia="Times New Roman" w:hAnsi="Times New Roman" w:cs="Times New Roman"/>
          <w:sz w:val="24"/>
          <w:szCs w:val="24"/>
          <w:lang w:eastAsia="en-IN"/>
        </w:rPr>
        <w:t>Macklaim</w:t>
      </w:r>
      <w:proofErr w:type="spellEnd"/>
      <w:r w:rsidRPr="00375C89">
        <w:rPr>
          <w:rFonts w:ascii="Times New Roman" w:eastAsia="Times New Roman" w:hAnsi="Times New Roman" w:cs="Times New Roman"/>
          <w:sz w:val="24"/>
          <w:szCs w:val="24"/>
          <w:lang w:eastAsia="en-IN"/>
        </w:rPr>
        <w:t xml:space="preserve"> JM, Reid G, Gloor GB. Vaginal </w:t>
      </w:r>
      <w:proofErr w:type="spellStart"/>
      <w:r w:rsidRPr="00375C89">
        <w:rPr>
          <w:rFonts w:ascii="Times New Roman" w:eastAsia="Times New Roman" w:hAnsi="Times New Roman" w:cs="Times New Roman"/>
          <w:sz w:val="24"/>
          <w:szCs w:val="24"/>
          <w:lang w:eastAsia="en-IN"/>
        </w:rPr>
        <w:t>metatranscriptome</w:t>
      </w:r>
      <w:proofErr w:type="spellEnd"/>
      <w:r w:rsidRPr="00375C89">
        <w:rPr>
          <w:rFonts w:ascii="Times New Roman" w:eastAsia="Times New Roman" w:hAnsi="Times New Roman" w:cs="Times New Roman"/>
          <w:sz w:val="24"/>
          <w:szCs w:val="24"/>
          <w:lang w:eastAsia="en-IN"/>
        </w:rPr>
        <w:t xml:space="preserve"> meta-analysis reveals functional BV subgroups and novel colonisation strategies. Microbiome. 2024;12(1):271. doi:10.1186/s40168-024-01992-w </w:t>
      </w:r>
    </w:p>
    <w:p w14:paraId="0CDEF6F3"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Duan B, Liu R, Shi Y, Sun A, Tang Z, Wang C, et al. Lactobacillus plantarum synergistically regulates M1 macrophage polarization in resistance against Salmonella enterica serovar Typhimurium infection. Front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w:t>
      </w:r>
      <w:proofErr w:type="gramStart"/>
      <w:r w:rsidRPr="00375C89">
        <w:rPr>
          <w:rFonts w:ascii="Times New Roman" w:eastAsia="Times New Roman" w:hAnsi="Times New Roman" w:cs="Times New Roman"/>
          <w:sz w:val="24"/>
          <w:szCs w:val="24"/>
          <w:lang w:eastAsia="en-IN"/>
        </w:rPr>
        <w:t>2022;13:933550</w:t>
      </w:r>
      <w:proofErr w:type="gramEnd"/>
      <w:r w:rsidRPr="00375C89">
        <w:rPr>
          <w:rFonts w:ascii="Times New Roman" w:eastAsia="Times New Roman" w:hAnsi="Times New Roman" w:cs="Times New Roman"/>
          <w:sz w:val="24"/>
          <w:szCs w:val="24"/>
          <w:lang w:eastAsia="en-IN"/>
        </w:rPr>
        <w:t xml:space="preserve">. doi:10.3389/fmicb.2022.933550 </w:t>
      </w:r>
    </w:p>
    <w:p w14:paraId="60B48B90"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Escorcia Mora P, Valbuena D, Diez-Juan A. The role of the gut microbiota in female reproductive and </w:t>
      </w:r>
      <w:proofErr w:type="spellStart"/>
      <w:r w:rsidRPr="00375C89">
        <w:rPr>
          <w:rFonts w:ascii="Times New Roman" w:eastAsia="Times New Roman" w:hAnsi="Times New Roman" w:cs="Times New Roman"/>
          <w:sz w:val="24"/>
          <w:szCs w:val="24"/>
          <w:lang w:eastAsia="en-IN"/>
        </w:rPr>
        <w:t>gynecological</w:t>
      </w:r>
      <w:proofErr w:type="spellEnd"/>
      <w:r w:rsidRPr="00375C89">
        <w:rPr>
          <w:rFonts w:ascii="Times New Roman" w:eastAsia="Times New Roman" w:hAnsi="Times New Roman" w:cs="Times New Roman"/>
          <w:sz w:val="24"/>
          <w:szCs w:val="24"/>
          <w:lang w:eastAsia="en-IN"/>
        </w:rPr>
        <w:t xml:space="preserve"> health: insights into endometrial </w:t>
      </w:r>
      <w:proofErr w:type="spellStart"/>
      <w:r w:rsidRPr="00375C89">
        <w:rPr>
          <w:rFonts w:ascii="Times New Roman" w:eastAsia="Times New Roman" w:hAnsi="Times New Roman" w:cs="Times New Roman"/>
          <w:sz w:val="24"/>
          <w:szCs w:val="24"/>
          <w:lang w:eastAsia="en-IN"/>
        </w:rPr>
        <w:t>signaling</w:t>
      </w:r>
      <w:proofErr w:type="spellEnd"/>
      <w:r w:rsidRPr="00375C89">
        <w:rPr>
          <w:rFonts w:ascii="Times New Roman" w:eastAsia="Times New Roman" w:hAnsi="Times New Roman" w:cs="Times New Roman"/>
          <w:sz w:val="24"/>
          <w:szCs w:val="24"/>
          <w:lang w:eastAsia="en-IN"/>
        </w:rPr>
        <w:t xml:space="preserve"> pathways. Life (Basel). 2025;15(5):762. doi:10.3390/life15050762 </w:t>
      </w:r>
    </w:p>
    <w:p w14:paraId="095AF180" w14:textId="77777777" w:rsidR="002F3AD3" w:rsidRPr="00DA2F15" w:rsidRDefault="002F3AD3" w:rsidP="002F3AD3">
      <w:pPr>
        <w:spacing w:after="0" w:line="240" w:lineRule="auto"/>
        <w:jc w:val="both"/>
        <w:rPr>
          <w:rFonts w:ascii="Times New Roman" w:eastAsia="Times New Roman" w:hAnsi="Times New Roman" w:cs="Times New Roman"/>
          <w:sz w:val="24"/>
          <w:szCs w:val="24"/>
          <w:lang w:val="pt-PT" w:eastAsia="en-IN"/>
        </w:rPr>
      </w:pPr>
      <w:r w:rsidRPr="00375C89">
        <w:rPr>
          <w:rFonts w:ascii="Times New Roman" w:eastAsia="Times New Roman" w:hAnsi="Times New Roman" w:cs="Times New Roman"/>
          <w:sz w:val="24"/>
          <w:szCs w:val="24"/>
          <w:lang w:eastAsia="en-IN"/>
        </w:rPr>
        <w:lastRenderedPageBreak/>
        <w:t xml:space="preserve">France MT, Mendes-Soares H, Forney LJ. Genomic comparisons of Lactobacillus crispatus and Lactobacillus iners reveal potential ecological drivers of community composition in the vagina. </w:t>
      </w:r>
      <w:r w:rsidRPr="00DA2F15">
        <w:rPr>
          <w:rFonts w:ascii="Times New Roman" w:eastAsia="Times New Roman" w:hAnsi="Times New Roman" w:cs="Times New Roman"/>
          <w:sz w:val="24"/>
          <w:szCs w:val="24"/>
          <w:lang w:val="pt-PT" w:eastAsia="en-IN"/>
        </w:rPr>
        <w:t>Appl Environ Microbiol. 2016;82(24):7063–7073. doi:10.1128/AEM.02385-16.</w:t>
      </w:r>
    </w:p>
    <w:p w14:paraId="00EF7B58"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DA2F15">
        <w:rPr>
          <w:rFonts w:ascii="Times New Roman" w:eastAsia="Times New Roman" w:hAnsi="Times New Roman" w:cs="Times New Roman"/>
          <w:sz w:val="24"/>
          <w:szCs w:val="24"/>
          <w:lang w:val="pt-PT" w:eastAsia="en-IN"/>
        </w:rPr>
        <w:t xml:space="preserve">Garmendia JV, De Sanctis CV, Hajdúch M, De Sanctis JB. </w:t>
      </w:r>
      <w:r w:rsidRPr="00375C89">
        <w:rPr>
          <w:rFonts w:ascii="Times New Roman" w:eastAsia="Times New Roman" w:hAnsi="Times New Roman" w:cs="Times New Roman"/>
          <w:sz w:val="24"/>
          <w:szCs w:val="24"/>
          <w:lang w:eastAsia="en-IN"/>
        </w:rPr>
        <w:t xml:space="preserve">Microbiota and recurrent pregnancy loss (RPL): more than a simple connection. Microorganisms. 2024;12(8):1641. doi:10.3390/microorganisms12081641 </w:t>
      </w:r>
    </w:p>
    <w:p w14:paraId="7E5B8926"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Graeber E, Tysha A, Nisar A, Wind D, </w:t>
      </w:r>
      <w:proofErr w:type="spellStart"/>
      <w:r w:rsidRPr="00375C89">
        <w:rPr>
          <w:rFonts w:ascii="Times New Roman" w:eastAsia="Times New Roman" w:hAnsi="Times New Roman" w:cs="Times New Roman"/>
          <w:sz w:val="24"/>
          <w:szCs w:val="24"/>
          <w:lang w:eastAsia="en-IN"/>
        </w:rPr>
        <w:t>Mendling</w:t>
      </w:r>
      <w:proofErr w:type="spellEnd"/>
      <w:r w:rsidRPr="00375C89">
        <w:rPr>
          <w:rFonts w:ascii="Times New Roman" w:eastAsia="Times New Roman" w:hAnsi="Times New Roman" w:cs="Times New Roman"/>
          <w:sz w:val="24"/>
          <w:szCs w:val="24"/>
          <w:lang w:eastAsia="en-IN"/>
        </w:rPr>
        <w:t xml:space="preserve"> W, Finzer P, et al. Shallow shotgun metagenomic sequencing of vaginal microbiomes with Oxford Nanopore technology enables reliable determination of vaginal community state types and structures. BMC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2025;25(1):544. doi:10.1186/s12866-025-04236-5 </w:t>
      </w:r>
    </w:p>
    <w:p w14:paraId="18A98120"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Huang B, </w:t>
      </w:r>
      <w:proofErr w:type="spellStart"/>
      <w:r w:rsidRPr="00375C89">
        <w:rPr>
          <w:rFonts w:ascii="Times New Roman" w:eastAsia="Times New Roman" w:hAnsi="Times New Roman" w:cs="Times New Roman"/>
          <w:sz w:val="24"/>
          <w:szCs w:val="24"/>
          <w:lang w:eastAsia="en-IN"/>
        </w:rPr>
        <w:t>Fettweis</w:t>
      </w:r>
      <w:proofErr w:type="spellEnd"/>
      <w:r w:rsidRPr="00375C89">
        <w:rPr>
          <w:rFonts w:ascii="Times New Roman" w:eastAsia="Times New Roman" w:hAnsi="Times New Roman" w:cs="Times New Roman"/>
          <w:sz w:val="24"/>
          <w:szCs w:val="24"/>
          <w:lang w:eastAsia="en-IN"/>
        </w:rPr>
        <w:t xml:space="preserve"> JM, Brooks JP, Jefferson KK, Buck GA. The changing landscape of the vaginal microbiome. Clin Lab Med. 2014;34(4):747-761. doi:10.1016/j.cll.2014.08.006 </w:t>
      </w:r>
    </w:p>
    <w:p w14:paraId="39CB737B"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Jia DJ, Wang QW, Hu YY, He JM, Ge QW, Qi YD, et al. Lactobacillus </w:t>
      </w:r>
      <w:proofErr w:type="spellStart"/>
      <w:r w:rsidRPr="00375C89">
        <w:rPr>
          <w:rFonts w:ascii="Times New Roman" w:eastAsia="Times New Roman" w:hAnsi="Times New Roman" w:cs="Times New Roman"/>
          <w:sz w:val="24"/>
          <w:szCs w:val="24"/>
          <w:lang w:eastAsia="en-IN"/>
        </w:rPr>
        <w:t>johnsonii</w:t>
      </w:r>
      <w:proofErr w:type="spellEnd"/>
      <w:r w:rsidRPr="00375C89">
        <w:rPr>
          <w:rFonts w:ascii="Times New Roman" w:eastAsia="Times New Roman" w:hAnsi="Times New Roman" w:cs="Times New Roman"/>
          <w:sz w:val="24"/>
          <w:szCs w:val="24"/>
          <w:lang w:eastAsia="en-IN"/>
        </w:rPr>
        <w:t xml:space="preserve"> alleviates colitis by TLR1/2-STAT3 mediated CD206+ macrophage IL-10 activation. Gut Microbes. 2022;14(1):2145843. doi:10.1080/19490976.2022.2145843 </w:t>
      </w:r>
    </w:p>
    <w:p w14:paraId="4D19FAC4" w14:textId="3ABEEC9A" w:rsidR="002F3AD3" w:rsidRPr="00000E0E"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Jin J, Yao G, Zhang X, Zhang T, Ye H, Zhou X, et al. Gut </w:t>
      </w:r>
      <w:proofErr w:type="spellStart"/>
      <w:r w:rsidRPr="00375C89">
        <w:rPr>
          <w:rFonts w:ascii="Times New Roman" w:eastAsia="Times New Roman" w:hAnsi="Times New Roman" w:cs="Times New Roman"/>
          <w:sz w:val="24"/>
          <w:szCs w:val="24"/>
          <w:lang w:eastAsia="en-IN"/>
        </w:rPr>
        <w:t>virome</w:t>
      </w:r>
      <w:proofErr w:type="spellEnd"/>
      <w:r w:rsidRPr="00375C89">
        <w:rPr>
          <w:rFonts w:ascii="Times New Roman" w:eastAsia="Times New Roman" w:hAnsi="Times New Roman" w:cs="Times New Roman"/>
          <w:sz w:val="24"/>
          <w:szCs w:val="24"/>
          <w:lang w:eastAsia="en-IN"/>
        </w:rPr>
        <w:t xml:space="preserve"> dysbiosis contributes to premature ovarian insufficiency by modulating gut bacteriome. </w:t>
      </w:r>
      <w:r w:rsidRPr="00000E0E">
        <w:rPr>
          <w:rFonts w:ascii="Times New Roman" w:eastAsia="Times New Roman" w:hAnsi="Times New Roman" w:cs="Times New Roman"/>
          <w:sz w:val="24"/>
          <w:szCs w:val="24"/>
          <w:lang w:eastAsia="en-IN"/>
        </w:rPr>
        <w:t xml:space="preserve">Gut Microbes. 2026;18(1):2611645. doi:10.1080/19490976.2025.2611645 </w:t>
      </w:r>
    </w:p>
    <w:p w14:paraId="78B61D2C"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Kroon S, </w:t>
      </w:r>
      <w:proofErr w:type="spellStart"/>
      <w:r w:rsidRPr="00375C89">
        <w:rPr>
          <w:rFonts w:ascii="Times New Roman" w:eastAsia="Times New Roman" w:hAnsi="Times New Roman" w:cs="Times New Roman"/>
          <w:sz w:val="24"/>
          <w:szCs w:val="24"/>
          <w:lang w:eastAsia="en-IN"/>
        </w:rPr>
        <w:t>Malcic</w:t>
      </w:r>
      <w:proofErr w:type="spellEnd"/>
      <w:r w:rsidRPr="00375C89">
        <w:rPr>
          <w:rFonts w:ascii="Times New Roman" w:eastAsia="Times New Roman" w:hAnsi="Times New Roman" w:cs="Times New Roman"/>
          <w:sz w:val="24"/>
          <w:szCs w:val="24"/>
          <w:lang w:eastAsia="en-IN"/>
        </w:rPr>
        <w:t xml:space="preserve"> D, Weidert L, et al. Sublethal systemic LPS in mice enables gut-luminal pathogens to bloom through oxygen species-mediated microbiota inhibition. Nat Commun. </w:t>
      </w:r>
      <w:proofErr w:type="gramStart"/>
      <w:r w:rsidRPr="00375C89">
        <w:rPr>
          <w:rFonts w:ascii="Times New Roman" w:eastAsia="Times New Roman" w:hAnsi="Times New Roman" w:cs="Times New Roman"/>
          <w:sz w:val="24"/>
          <w:szCs w:val="24"/>
          <w:lang w:eastAsia="en-IN"/>
        </w:rPr>
        <w:t>2025;16:2760</w:t>
      </w:r>
      <w:proofErr w:type="gramEnd"/>
      <w:r w:rsidRPr="00375C89">
        <w:rPr>
          <w:rFonts w:ascii="Times New Roman" w:eastAsia="Times New Roman" w:hAnsi="Times New Roman" w:cs="Times New Roman"/>
          <w:sz w:val="24"/>
          <w:szCs w:val="24"/>
          <w:lang w:eastAsia="en-IN"/>
        </w:rPr>
        <w:t xml:space="preserve">. doi:10.1038/s41467-025-57979-0 </w:t>
      </w:r>
    </w:p>
    <w:p w14:paraId="7D8A175E"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Kullin BR, </w:t>
      </w:r>
      <w:proofErr w:type="spellStart"/>
      <w:r w:rsidRPr="00375C89">
        <w:rPr>
          <w:rFonts w:ascii="Times New Roman" w:eastAsia="Times New Roman" w:hAnsi="Times New Roman" w:cs="Times New Roman"/>
          <w:sz w:val="24"/>
          <w:szCs w:val="24"/>
          <w:lang w:eastAsia="en-IN"/>
        </w:rPr>
        <w:t>Gitome</w:t>
      </w:r>
      <w:proofErr w:type="spellEnd"/>
      <w:r w:rsidRPr="00375C89">
        <w:rPr>
          <w:rFonts w:ascii="Times New Roman" w:eastAsia="Times New Roman" w:hAnsi="Times New Roman" w:cs="Times New Roman"/>
          <w:sz w:val="24"/>
          <w:szCs w:val="24"/>
          <w:lang w:eastAsia="en-IN"/>
        </w:rPr>
        <w:t xml:space="preserve"> S, Happel AU, </w:t>
      </w:r>
      <w:proofErr w:type="spellStart"/>
      <w:r w:rsidRPr="00375C89">
        <w:rPr>
          <w:rFonts w:ascii="Times New Roman" w:eastAsia="Times New Roman" w:hAnsi="Times New Roman" w:cs="Times New Roman"/>
          <w:sz w:val="24"/>
          <w:szCs w:val="24"/>
          <w:lang w:eastAsia="en-IN"/>
        </w:rPr>
        <w:t>Pidwell</w:t>
      </w:r>
      <w:proofErr w:type="spellEnd"/>
      <w:r w:rsidRPr="00375C89">
        <w:rPr>
          <w:rFonts w:ascii="Times New Roman" w:eastAsia="Times New Roman" w:hAnsi="Times New Roman" w:cs="Times New Roman"/>
          <w:sz w:val="24"/>
          <w:szCs w:val="24"/>
          <w:lang w:eastAsia="en-IN"/>
        </w:rPr>
        <w:t xml:space="preserve"> T, Lefevre M, </w:t>
      </w:r>
      <w:proofErr w:type="spellStart"/>
      <w:r w:rsidRPr="00375C89">
        <w:rPr>
          <w:rFonts w:ascii="Times New Roman" w:eastAsia="Times New Roman" w:hAnsi="Times New Roman" w:cs="Times New Roman"/>
          <w:sz w:val="24"/>
          <w:szCs w:val="24"/>
          <w:lang w:eastAsia="en-IN"/>
        </w:rPr>
        <w:t>Madikida</w:t>
      </w:r>
      <w:proofErr w:type="spellEnd"/>
      <w:r w:rsidRPr="00375C89">
        <w:rPr>
          <w:rFonts w:ascii="Times New Roman" w:eastAsia="Times New Roman" w:hAnsi="Times New Roman" w:cs="Times New Roman"/>
          <w:sz w:val="24"/>
          <w:szCs w:val="24"/>
          <w:lang w:eastAsia="en-IN"/>
        </w:rPr>
        <w:t xml:space="preserve"> A, et al. Vaginal Microbiome Research Consortium for Africa: study protocol of a multicentre prospective clinical study to evaluate temporal vaginal microbial composition associated with maintenance of reproductive health in women in South Africa and Kenya. BMJ Open. 2025;15(2</w:t>
      </w:r>
      <w:proofErr w:type="gramStart"/>
      <w:r w:rsidRPr="00375C89">
        <w:rPr>
          <w:rFonts w:ascii="Times New Roman" w:eastAsia="Times New Roman" w:hAnsi="Times New Roman" w:cs="Times New Roman"/>
          <w:sz w:val="24"/>
          <w:szCs w:val="24"/>
          <w:lang w:eastAsia="en-IN"/>
        </w:rPr>
        <w:t>):e</w:t>
      </w:r>
      <w:proofErr w:type="gramEnd"/>
      <w:r w:rsidRPr="00375C89">
        <w:rPr>
          <w:rFonts w:ascii="Times New Roman" w:eastAsia="Times New Roman" w:hAnsi="Times New Roman" w:cs="Times New Roman"/>
          <w:sz w:val="24"/>
          <w:szCs w:val="24"/>
          <w:lang w:eastAsia="en-IN"/>
        </w:rPr>
        <w:t xml:space="preserve">090938. doi:10.1136/bmjopen-2024-090938 </w:t>
      </w:r>
    </w:p>
    <w:p w14:paraId="35AF710D"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Luo H, Zhou C, Zhou L, He Y, Xie RH. The effectiveness of vaginal microbiota transplantation for vaginal dysbiosis and bacterial vaginosis: a scoping review. Arch </w:t>
      </w:r>
      <w:proofErr w:type="spellStart"/>
      <w:r w:rsidRPr="00375C89">
        <w:rPr>
          <w:rFonts w:ascii="Times New Roman" w:eastAsia="Times New Roman" w:hAnsi="Times New Roman" w:cs="Times New Roman"/>
          <w:sz w:val="24"/>
          <w:szCs w:val="24"/>
          <w:lang w:eastAsia="en-IN"/>
        </w:rPr>
        <w:t>Gynecol</w:t>
      </w:r>
      <w:proofErr w:type="spellEnd"/>
      <w:r w:rsidRPr="00375C89">
        <w:rPr>
          <w:rFonts w:ascii="Times New Roman" w:eastAsia="Times New Roman" w:hAnsi="Times New Roman" w:cs="Times New Roman"/>
          <w:sz w:val="24"/>
          <w:szCs w:val="24"/>
          <w:lang w:eastAsia="en-IN"/>
        </w:rPr>
        <w:t xml:space="preserve"> Obstet. 2024;310(2):643-653. doi:10.1007/s00404-024-07611-1 </w:t>
      </w:r>
    </w:p>
    <w:p w14:paraId="2690DBF6" w14:textId="77777777" w:rsidR="002F3AD3" w:rsidRPr="00DA2F15" w:rsidRDefault="002F3AD3" w:rsidP="002F3AD3">
      <w:pPr>
        <w:spacing w:after="0" w:line="240" w:lineRule="auto"/>
        <w:jc w:val="both"/>
        <w:rPr>
          <w:rFonts w:ascii="Times New Roman" w:eastAsia="Times New Roman" w:hAnsi="Times New Roman" w:cs="Times New Roman"/>
          <w:sz w:val="24"/>
          <w:szCs w:val="24"/>
          <w:lang w:val="pt-PT" w:eastAsia="en-IN"/>
        </w:rPr>
      </w:pPr>
      <w:r w:rsidRPr="00375C89">
        <w:rPr>
          <w:rFonts w:ascii="Times New Roman" w:eastAsia="Times New Roman" w:hAnsi="Times New Roman" w:cs="Times New Roman"/>
          <w:sz w:val="24"/>
          <w:szCs w:val="24"/>
          <w:lang w:eastAsia="en-IN"/>
        </w:rPr>
        <w:t xml:space="preserve">Ma B, Forney LJ, Ravel J. Vaginal microbiome: rethinking health and disease. </w:t>
      </w:r>
      <w:r w:rsidRPr="00DA2F15">
        <w:rPr>
          <w:rFonts w:ascii="Times New Roman" w:eastAsia="Times New Roman" w:hAnsi="Times New Roman" w:cs="Times New Roman"/>
          <w:sz w:val="24"/>
          <w:szCs w:val="24"/>
          <w:lang w:val="pt-PT" w:eastAsia="en-IN"/>
        </w:rPr>
        <w:t xml:space="preserve">Annu Rev Microbiol. 2012;66:371–389. doi:10.1146/annurev-micro-092611-150157. </w:t>
      </w:r>
    </w:p>
    <w:p w14:paraId="1E5336D9"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DA2F15">
        <w:rPr>
          <w:rFonts w:ascii="Times New Roman" w:eastAsia="Times New Roman" w:hAnsi="Times New Roman" w:cs="Times New Roman"/>
          <w:sz w:val="24"/>
          <w:szCs w:val="24"/>
          <w:lang w:val="pt-PT" w:eastAsia="en-IN"/>
        </w:rPr>
        <w:t xml:space="preserve">Machado D, Castro J, Palmeira-de-Oliveira A, Martinez-de-Oliveira J, Cerca N. Bacterial vaginosis biofilms: challenges to current therapies and emerging solutions. </w:t>
      </w:r>
      <w:r w:rsidRPr="00375C89">
        <w:rPr>
          <w:rFonts w:ascii="Times New Roman" w:eastAsia="Times New Roman" w:hAnsi="Times New Roman" w:cs="Times New Roman"/>
          <w:sz w:val="24"/>
          <w:szCs w:val="24"/>
          <w:lang w:eastAsia="en-IN"/>
        </w:rPr>
        <w:t xml:space="preserve">Front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w:t>
      </w:r>
      <w:proofErr w:type="gramStart"/>
      <w:r w:rsidRPr="00375C89">
        <w:rPr>
          <w:rFonts w:ascii="Times New Roman" w:eastAsia="Times New Roman" w:hAnsi="Times New Roman" w:cs="Times New Roman"/>
          <w:sz w:val="24"/>
          <w:szCs w:val="24"/>
          <w:lang w:eastAsia="en-IN"/>
        </w:rPr>
        <w:t>2016;6:1528</w:t>
      </w:r>
      <w:proofErr w:type="gramEnd"/>
      <w:r w:rsidRPr="00375C89">
        <w:rPr>
          <w:rFonts w:ascii="Times New Roman" w:eastAsia="Times New Roman" w:hAnsi="Times New Roman" w:cs="Times New Roman"/>
          <w:sz w:val="24"/>
          <w:szCs w:val="24"/>
          <w:lang w:eastAsia="en-IN"/>
        </w:rPr>
        <w:t xml:space="preserve">. doi:10.3389/fmicb.2015.01528. </w:t>
      </w:r>
    </w:p>
    <w:p w14:paraId="796BEB6F"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Muzny CA, Schwebke JR. Biofilms: an underappreciated mechanism of treatment failure and recurrence in vaginal infections. Clin Infect Dis. 2015;61(4):601–606. doi:10.1093/</w:t>
      </w:r>
      <w:proofErr w:type="spellStart"/>
      <w:r w:rsidRPr="00375C89">
        <w:rPr>
          <w:rFonts w:ascii="Times New Roman" w:eastAsia="Times New Roman" w:hAnsi="Times New Roman" w:cs="Times New Roman"/>
          <w:sz w:val="24"/>
          <w:szCs w:val="24"/>
          <w:lang w:eastAsia="en-IN"/>
        </w:rPr>
        <w:t>cid</w:t>
      </w:r>
      <w:proofErr w:type="spellEnd"/>
      <w:r w:rsidRPr="00375C89">
        <w:rPr>
          <w:rFonts w:ascii="Times New Roman" w:eastAsia="Times New Roman" w:hAnsi="Times New Roman" w:cs="Times New Roman"/>
          <w:sz w:val="24"/>
          <w:szCs w:val="24"/>
          <w:lang w:eastAsia="en-IN"/>
        </w:rPr>
        <w:t>/civ353.</w:t>
      </w:r>
    </w:p>
    <w:p w14:paraId="3C3401E7"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Ojo DP, Celeste C, Ming D, et al. Population-level predictive variation in machine learning diagnosis of symptomatic bacterial vaginosis. </w:t>
      </w:r>
      <w:proofErr w:type="spellStart"/>
      <w:r w:rsidRPr="00375C89">
        <w:rPr>
          <w:rFonts w:ascii="Times New Roman" w:eastAsia="Times New Roman" w:hAnsi="Times New Roman" w:cs="Times New Roman"/>
          <w:sz w:val="24"/>
          <w:szCs w:val="24"/>
          <w:lang w:eastAsia="en-IN"/>
        </w:rPr>
        <w:t>npj</w:t>
      </w:r>
      <w:proofErr w:type="spellEnd"/>
      <w:r w:rsidRPr="00375C89">
        <w:rPr>
          <w:rFonts w:ascii="Times New Roman" w:eastAsia="Times New Roman" w:hAnsi="Times New Roman" w:cs="Times New Roman"/>
          <w:sz w:val="24"/>
          <w:szCs w:val="24"/>
          <w:lang w:eastAsia="en-IN"/>
        </w:rPr>
        <w:t xml:space="preserve"> </w:t>
      </w:r>
      <w:proofErr w:type="spellStart"/>
      <w:r w:rsidRPr="00375C89">
        <w:rPr>
          <w:rFonts w:ascii="Times New Roman" w:eastAsia="Times New Roman" w:hAnsi="Times New Roman" w:cs="Times New Roman"/>
          <w:sz w:val="24"/>
          <w:szCs w:val="24"/>
          <w:lang w:eastAsia="en-IN"/>
        </w:rPr>
        <w:t>Womens</w:t>
      </w:r>
      <w:proofErr w:type="spellEnd"/>
      <w:r w:rsidRPr="00375C89">
        <w:rPr>
          <w:rFonts w:ascii="Times New Roman" w:eastAsia="Times New Roman" w:hAnsi="Times New Roman" w:cs="Times New Roman"/>
          <w:sz w:val="24"/>
          <w:szCs w:val="24"/>
          <w:lang w:eastAsia="en-IN"/>
        </w:rPr>
        <w:t xml:space="preserve"> Health. </w:t>
      </w:r>
      <w:proofErr w:type="gramStart"/>
      <w:r w:rsidRPr="00375C89">
        <w:rPr>
          <w:rFonts w:ascii="Times New Roman" w:eastAsia="Times New Roman" w:hAnsi="Times New Roman" w:cs="Times New Roman"/>
          <w:sz w:val="24"/>
          <w:szCs w:val="24"/>
          <w:lang w:eastAsia="en-IN"/>
        </w:rPr>
        <w:t>2025;3:45</w:t>
      </w:r>
      <w:proofErr w:type="gramEnd"/>
      <w:r w:rsidRPr="00375C89">
        <w:rPr>
          <w:rFonts w:ascii="Times New Roman" w:eastAsia="Times New Roman" w:hAnsi="Times New Roman" w:cs="Times New Roman"/>
          <w:sz w:val="24"/>
          <w:szCs w:val="24"/>
          <w:lang w:eastAsia="en-IN"/>
        </w:rPr>
        <w:t xml:space="preserve">. doi:10.1038/s44294-025-00092-w </w:t>
      </w:r>
    </w:p>
    <w:p w14:paraId="3239C912"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Petrin D, </w:t>
      </w:r>
      <w:proofErr w:type="spellStart"/>
      <w:r w:rsidRPr="00375C89">
        <w:rPr>
          <w:rFonts w:ascii="Times New Roman" w:eastAsia="Times New Roman" w:hAnsi="Times New Roman" w:cs="Times New Roman"/>
          <w:sz w:val="24"/>
          <w:szCs w:val="24"/>
          <w:lang w:eastAsia="en-IN"/>
        </w:rPr>
        <w:t>Delgaty</w:t>
      </w:r>
      <w:proofErr w:type="spellEnd"/>
      <w:r w:rsidRPr="00375C89">
        <w:rPr>
          <w:rFonts w:ascii="Times New Roman" w:eastAsia="Times New Roman" w:hAnsi="Times New Roman" w:cs="Times New Roman"/>
          <w:sz w:val="24"/>
          <w:szCs w:val="24"/>
          <w:lang w:eastAsia="en-IN"/>
        </w:rPr>
        <w:t xml:space="preserve"> K, Bhatt R, Garber G. Clinical and microbiological aspects of Trichomonas vaginalis. Clin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Rev. 1998;11(2):300-317. doi:10.1128/CMR.11.2.300</w:t>
      </w:r>
    </w:p>
    <w:p w14:paraId="6DE37C52"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Petrova MI, Reid G, </w:t>
      </w:r>
      <w:proofErr w:type="spellStart"/>
      <w:r w:rsidRPr="00375C89">
        <w:rPr>
          <w:rFonts w:ascii="Times New Roman" w:eastAsia="Times New Roman" w:hAnsi="Times New Roman" w:cs="Times New Roman"/>
          <w:sz w:val="24"/>
          <w:szCs w:val="24"/>
          <w:lang w:eastAsia="en-IN"/>
        </w:rPr>
        <w:t>Vaneechoutte</w:t>
      </w:r>
      <w:proofErr w:type="spellEnd"/>
      <w:r w:rsidRPr="00375C89">
        <w:rPr>
          <w:rFonts w:ascii="Times New Roman" w:eastAsia="Times New Roman" w:hAnsi="Times New Roman" w:cs="Times New Roman"/>
          <w:sz w:val="24"/>
          <w:szCs w:val="24"/>
          <w:lang w:eastAsia="en-IN"/>
        </w:rPr>
        <w:t xml:space="preserve"> M, </w:t>
      </w:r>
      <w:proofErr w:type="spellStart"/>
      <w:r w:rsidRPr="00375C89">
        <w:rPr>
          <w:rFonts w:ascii="Times New Roman" w:eastAsia="Times New Roman" w:hAnsi="Times New Roman" w:cs="Times New Roman"/>
          <w:sz w:val="24"/>
          <w:szCs w:val="24"/>
          <w:lang w:eastAsia="en-IN"/>
        </w:rPr>
        <w:t>Lebeer</w:t>
      </w:r>
      <w:proofErr w:type="spellEnd"/>
      <w:r w:rsidRPr="00375C89">
        <w:rPr>
          <w:rFonts w:ascii="Times New Roman" w:eastAsia="Times New Roman" w:hAnsi="Times New Roman" w:cs="Times New Roman"/>
          <w:sz w:val="24"/>
          <w:szCs w:val="24"/>
          <w:lang w:eastAsia="en-IN"/>
        </w:rPr>
        <w:t xml:space="preserve"> S. Lactobacillus iners: friend or foe? Trends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2017;25(3):182–191. doi:10.1016/j.tim.2016.11.007. </w:t>
      </w:r>
    </w:p>
    <w:p w14:paraId="4B254C40"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Ravel J, Gajer P, Abdo Z, Schneider GM, Koenig SS, </w:t>
      </w:r>
      <w:proofErr w:type="spellStart"/>
      <w:r w:rsidRPr="00375C89">
        <w:rPr>
          <w:rFonts w:ascii="Times New Roman" w:eastAsia="Times New Roman" w:hAnsi="Times New Roman" w:cs="Times New Roman"/>
          <w:sz w:val="24"/>
          <w:szCs w:val="24"/>
          <w:lang w:eastAsia="en-IN"/>
        </w:rPr>
        <w:t>McCulle</w:t>
      </w:r>
      <w:proofErr w:type="spellEnd"/>
      <w:r w:rsidRPr="00375C89">
        <w:rPr>
          <w:rFonts w:ascii="Times New Roman" w:eastAsia="Times New Roman" w:hAnsi="Times New Roman" w:cs="Times New Roman"/>
          <w:sz w:val="24"/>
          <w:szCs w:val="24"/>
          <w:lang w:eastAsia="en-IN"/>
        </w:rPr>
        <w:t xml:space="preserve"> SL, </w:t>
      </w:r>
      <w:proofErr w:type="spellStart"/>
      <w:r w:rsidRPr="00375C89">
        <w:rPr>
          <w:rFonts w:ascii="Times New Roman" w:eastAsia="Times New Roman" w:hAnsi="Times New Roman" w:cs="Times New Roman"/>
          <w:sz w:val="24"/>
          <w:szCs w:val="24"/>
          <w:lang w:eastAsia="en-IN"/>
        </w:rPr>
        <w:t>Karlebach</w:t>
      </w:r>
      <w:proofErr w:type="spellEnd"/>
      <w:r w:rsidRPr="00375C89">
        <w:rPr>
          <w:rFonts w:ascii="Times New Roman" w:eastAsia="Times New Roman" w:hAnsi="Times New Roman" w:cs="Times New Roman"/>
          <w:sz w:val="24"/>
          <w:szCs w:val="24"/>
          <w:lang w:eastAsia="en-IN"/>
        </w:rPr>
        <w:t xml:space="preserve"> S, </w:t>
      </w:r>
      <w:proofErr w:type="spellStart"/>
      <w:r w:rsidRPr="00375C89">
        <w:rPr>
          <w:rFonts w:ascii="Times New Roman" w:eastAsia="Times New Roman" w:hAnsi="Times New Roman" w:cs="Times New Roman"/>
          <w:sz w:val="24"/>
          <w:szCs w:val="24"/>
          <w:lang w:eastAsia="en-IN"/>
        </w:rPr>
        <w:t>Gorle</w:t>
      </w:r>
      <w:proofErr w:type="spellEnd"/>
      <w:r w:rsidRPr="00375C89">
        <w:rPr>
          <w:rFonts w:ascii="Times New Roman" w:eastAsia="Times New Roman" w:hAnsi="Times New Roman" w:cs="Times New Roman"/>
          <w:sz w:val="24"/>
          <w:szCs w:val="24"/>
          <w:lang w:eastAsia="en-IN"/>
        </w:rPr>
        <w:t xml:space="preserve"> R, Russell J, Tacket CO, Brotman RM. Vaginal microbiome of reproductive-age women. Proceedings of the National Academy of Sciences. 2011 Mar 15;108(supplement_1):4680-7.</w:t>
      </w:r>
    </w:p>
    <w:p w14:paraId="70EB13D4"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11</w:t>
      </w:r>
      <w:r w:rsidRPr="00375C89">
        <w:rPr>
          <w:rFonts w:ascii="Times New Roman" w:eastAsia="Times New Roman" w:hAnsi="Times New Roman" w:cs="Times New Roman"/>
          <w:sz w:val="24"/>
          <w:szCs w:val="24"/>
          <w:lang w:eastAsia="en-IN"/>
        </w:rPr>
        <w:tab/>
        <w:t>References</w:t>
      </w:r>
    </w:p>
    <w:p w14:paraId="0564B164" w14:textId="77777777" w:rsidR="002F3AD3" w:rsidRPr="00DA2F15" w:rsidRDefault="002F3AD3" w:rsidP="002F3AD3">
      <w:pPr>
        <w:spacing w:after="0" w:line="240" w:lineRule="auto"/>
        <w:jc w:val="both"/>
        <w:rPr>
          <w:rFonts w:ascii="Times New Roman" w:eastAsia="Times New Roman" w:hAnsi="Times New Roman" w:cs="Times New Roman"/>
          <w:sz w:val="24"/>
          <w:szCs w:val="24"/>
          <w:lang w:val="pt-PT" w:eastAsia="en-IN"/>
        </w:rPr>
      </w:pPr>
      <w:r w:rsidRPr="00375C89">
        <w:rPr>
          <w:rFonts w:ascii="Times New Roman" w:eastAsia="Times New Roman" w:hAnsi="Times New Roman" w:cs="Times New Roman"/>
          <w:sz w:val="24"/>
          <w:szCs w:val="24"/>
          <w:lang w:eastAsia="en-IN"/>
        </w:rPr>
        <w:lastRenderedPageBreak/>
        <w:t xml:space="preserve">Shin YJ, Ma X, Baek JS, Kim DH. The vaginally exposed extracellular vesicle of Gardnerella vaginalis induces RANK/RANKL-involved systemic inflammation in mice. </w:t>
      </w:r>
      <w:r w:rsidRPr="00DA2F15">
        <w:rPr>
          <w:rFonts w:ascii="Times New Roman" w:eastAsia="Times New Roman" w:hAnsi="Times New Roman" w:cs="Times New Roman"/>
          <w:sz w:val="24"/>
          <w:szCs w:val="24"/>
          <w:lang w:val="pt-PT" w:eastAsia="en-IN"/>
        </w:rPr>
        <w:t xml:space="preserve">Microorganisms. 2025;13(4):955. doi:10.3390/microorganisms13040955 </w:t>
      </w:r>
    </w:p>
    <w:p w14:paraId="02F60919"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val="de-CH" w:eastAsia="en-IN"/>
        </w:rPr>
        <w:t xml:space="preserve">Shipitsyna E, Khusnutdinova T, Budilovskaya O, et al. </w:t>
      </w:r>
      <w:r w:rsidRPr="00375C89">
        <w:rPr>
          <w:rFonts w:ascii="Times New Roman" w:eastAsia="Times New Roman" w:hAnsi="Times New Roman" w:cs="Times New Roman"/>
          <w:sz w:val="24"/>
          <w:szCs w:val="24"/>
          <w:lang w:eastAsia="en-IN"/>
        </w:rPr>
        <w:t xml:space="preserve">Bacterial vaginosis-associated vaginal microbiota is an age-independent risk factor for Chlamydia trachomatis, Mycoplasma genitalium and Trichomonas vaginalis infections in low-risk women. </w:t>
      </w:r>
      <w:proofErr w:type="spellStart"/>
      <w:r w:rsidRPr="00375C89">
        <w:rPr>
          <w:rFonts w:ascii="Times New Roman" w:eastAsia="Times New Roman" w:hAnsi="Times New Roman" w:cs="Times New Roman"/>
          <w:sz w:val="24"/>
          <w:szCs w:val="24"/>
          <w:lang w:eastAsia="en-IN"/>
        </w:rPr>
        <w:t>Eur</w:t>
      </w:r>
      <w:proofErr w:type="spellEnd"/>
      <w:r w:rsidRPr="00375C89">
        <w:rPr>
          <w:rFonts w:ascii="Times New Roman" w:eastAsia="Times New Roman" w:hAnsi="Times New Roman" w:cs="Times New Roman"/>
          <w:sz w:val="24"/>
          <w:szCs w:val="24"/>
          <w:lang w:eastAsia="en-IN"/>
        </w:rPr>
        <w:t xml:space="preserve"> J Clin </w:t>
      </w:r>
      <w:proofErr w:type="spellStart"/>
      <w:r w:rsidRPr="00375C89">
        <w:rPr>
          <w:rFonts w:ascii="Times New Roman" w:eastAsia="Times New Roman" w:hAnsi="Times New Roman" w:cs="Times New Roman"/>
          <w:sz w:val="24"/>
          <w:szCs w:val="24"/>
          <w:lang w:eastAsia="en-IN"/>
        </w:rPr>
        <w:t>Microbiol</w:t>
      </w:r>
      <w:proofErr w:type="spellEnd"/>
      <w:r w:rsidRPr="00375C89">
        <w:rPr>
          <w:rFonts w:ascii="Times New Roman" w:eastAsia="Times New Roman" w:hAnsi="Times New Roman" w:cs="Times New Roman"/>
          <w:sz w:val="24"/>
          <w:szCs w:val="24"/>
          <w:lang w:eastAsia="en-IN"/>
        </w:rPr>
        <w:t xml:space="preserve"> Infect Dis. </w:t>
      </w:r>
      <w:proofErr w:type="gramStart"/>
      <w:r w:rsidRPr="00375C89">
        <w:rPr>
          <w:rFonts w:ascii="Times New Roman" w:eastAsia="Times New Roman" w:hAnsi="Times New Roman" w:cs="Times New Roman"/>
          <w:sz w:val="24"/>
          <w:szCs w:val="24"/>
          <w:lang w:eastAsia="en-IN"/>
        </w:rPr>
        <w:t>2020;39:1221</w:t>
      </w:r>
      <w:proofErr w:type="gramEnd"/>
      <w:r w:rsidRPr="00375C89">
        <w:rPr>
          <w:rFonts w:ascii="Times New Roman" w:eastAsia="Times New Roman" w:hAnsi="Times New Roman" w:cs="Times New Roman"/>
          <w:sz w:val="24"/>
          <w:szCs w:val="24"/>
          <w:lang w:eastAsia="en-IN"/>
        </w:rPr>
        <w:t xml:space="preserve">-1230. doi:10.1007/s10096-020-03831-w </w:t>
      </w:r>
    </w:p>
    <w:p w14:paraId="33C7A74D"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Stagg AJ, </w:t>
      </w:r>
      <w:proofErr w:type="spellStart"/>
      <w:r w:rsidRPr="00375C89">
        <w:rPr>
          <w:rFonts w:ascii="Times New Roman" w:eastAsia="Times New Roman" w:hAnsi="Times New Roman" w:cs="Times New Roman"/>
          <w:sz w:val="24"/>
          <w:szCs w:val="24"/>
          <w:lang w:eastAsia="en-IN"/>
        </w:rPr>
        <w:t>Tuffrey</w:t>
      </w:r>
      <w:proofErr w:type="spellEnd"/>
      <w:r w:rsidRPr="00375C89">
        <w:rPr>
          <w:rFonts w:ascii="Times New Roman" w:eastAsia="Times New Roman" w:hAnsi="Times New Roman" w:cs="Times New Roman"/>
          <w:sz w:val="24"/>
          <w:szCs w:val="24"/>
          <w:lang w:eastAsia="en-IN"/>
        </w:rPr>
        <w:t xml:space="preserve"> M, Woods C, </w:t>
      </w:r>
      <w:proofErr w:type="spellStart"/>
      <w:r w:rsidRPr="00375C89">
        <w:rPr>
          <w:rFonts w:ascii="Times New Roman" w:eastAsia="Times New Roman" w:hAnsi="Times New Roman" w:cs="Times New Roman"/>
          <w:sz w:val="24"/>
          <w:szCs w:val="24"/>
          <w:lang w:eastAsia="en-IN"/>
        </w:rPr>
        <w:t>Wunderink</w:t>
      </w:r>
      <w:proofErr w:type="spellEnd"/>
      <w:r w:rsidRPr="00375C89">
        <w:rPr>
          <w:rFonts w:ascii="Times New Roman" w:eastAsia="Times New Roman" w:hAnsi="Times New Roman" w:cs="Times New Roman"/>
          <w:sz w:val="24"/>
          <w:szCs w:val="24"/>
          <w:lang w:eastAsia="en-IN"/>
        </w:rPr>
        <w:t xml:space="preserve"> E, Knight SC. Protection against ascending infection of the genital tract by Chlamydia trachomatis is associated with recruitment of major histocompatibility complex class II antigen-presenting cells into uterine tissue. Infect Immun. 1998 Aug;66(8):3535-44. </w:t>
      </w:r>
      <w:proofErr w:type="spellStart"/>
      <w:r w:rsidRPr="00375C89">
        <w:rPr>
          <w:rFonts w:ascii="Times New Roman" w:eastAsia="Times New Roman" w:hAnsi="Times New Roman" w:cs="Times New Roman"/>
          <w:sz w:val="24"/>
          <w:szCs w:val="24"/>
          <w:lang w:eastAsia="en-IN"/>
        </w:rPr>
        <w:t>doi</w:t>
      </w:r>
      <w:proofErr w:type="spellEnd"/>
      <w:r w:rsidRPr="00375C89">
        <w:rPr>
          <w:rFonts w:ascii="Times New Roman" w:eastAsia="Times New Roman" w:hAnsi="Times New Roman" w:cs="Times New Roman"/>
          <w:sz w:val="24"/>
          <w:szCs w:val="24"/>
          <w:lang w:eastAsia="en-IN"/>
        </w:rPr>
        <w:t>: 10.1128/IAI.66.8.3535-3544.1998. PMID: 9673231; PMCID: PMC108384.</w:t>
      </w:r>
    </w:p>
    <w:p w14:paraId="0D69F6B1"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Su W, Gong C, Zhong H, Yang H, Chen Y, Wu X, Jin J, Xi H, Zhao J. Vaginal and endometrial microbiome dysbiosis associated with adverse embryo transfer outcomes. Reproductive Biology and Endocrinology. 2024 Aug 28;22(1):111.</w:t>
      </w:r>
    </w:p>
    <w:p w14:paraId="352993E2"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Van de Wijgert JHHM, </w:t>
      </w:r>
      <w:proofErr w:type="spellStart"/>
      <w:r w:rsidRPr="00375C89">
        <w:rPr>
          <w:rFonts w:ascii="Times New Roman" w:eastAsia="Times New Roman" w:hAnsi="Times New Roman" w:cs="Times New Roman"/>
          <w:sz w:val="24"/>
          <w:szCs w:val="24"/>
          <w:lang w:eastAsia="en-IN"/>
        </w:rPr>
        <w:t>Verwijs</w:t>
      </w:r>
      <w:proofErr w:type="spellEnd"/>
      <w:r w:rsidRPr="00375C89">
        <w:rPr>
          <w:rFonts w:ascii="Times New Roman" w:eastAsia="Times New Roman" w:hAnsi="Times New Roman" w:cs="Times New Roman"/>
          <w:sz w:val="24"/>
          <w:szCs w:val="24"/>
          <w:lang w:eastAsia="en-IN"/>
        </w:rPr>
        <w:t xml:space="preserve"> MC. Lactobacilli-containing vaginal probiotics to cure or prevent bacterial vaginosis: a systematic review and meta-analysis. Clin Infect Dis. 2020;70(6):1219-1234. </w:t>
      </w:r>
    </w:p>
    <w:p w14:paraId="171B05B1"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Wiesenfeld HC, Hillier SL, Krohn MA, Landers DV, Sweet RL. Bacterial vaginosis is a strong predictor of Neisseria gonorrhoeae and Chlamydia trachomatis infection. Clin Infect Dis. 2003 Mar 1;36(5):663-8. </w:t>
      </w:r>
      <w:proofErr w:type="spellStart"/>
      <w:r w:rsidRPr="00375C89">
        <w:rPr>
          <w:rFonts w:ascii="Times New Roman" w:eastAsia="Times New Roman" w:hAnsi="Times New Roman" w:cs="Times New Roman"/>
          <w:sz w:val="24"/>
          <w:szCs w:val="24"/>
          <w:lang w:eastAsia="en-IN"/>
        </w:rPr>
        <w:t>doi</w:t>
      </w:r>
      <w:proofErr w:type="spellEnd"/>
      <w:r w:rsidRPr="00375C89">
        <w:rPr>
          <w:rFonts w:ascii="Times New Roman" w:eastAsia="Times New Roman" w:hAnsi="Times New Roman" w:cs="Times New Roman"/>
          <w:sz w:val="24"/>
          <w:szCs w:val="24"/>
          <w:lang w:eastAsia="en-IN"/>
        </w:rPr>
        <w:t xml:space="preserve">: 10.1086/367658. </w:t>
      </w:r>
      <w:proofErr w:type="spellStart"/>
      <w:r w:rsidRPr="00375C89">
        <w:rPr>
          <w:rFonts w:ascii="Times New Roman" w:eastAsia="Times New Roman" w:hAnsi="Times New Roman" w:cs="Times New Roman"/>
          <w:sz w:val="24"/>
          <w:szCs w:val="24"/>
          <w:lang w:eastAsia="en-IN"/>
        </w:rPr>
        <w:t>Epub</w:t>
      </w:r>
      <w:proofErr w:type="spellEnd"/>
      <w:r w:rsidRPr="00375C89">
        <w:rPr>
          <w:rFonts w:ascii="Times New Roman" w:eastAsia="Times New Roman" w:hAnsi="Times New Roman" w:cs="Times New Roman"/>
          <w:sz w:val="24"/>
          <w:szCs w:val="24"/>
          <w:lang w:eastAsia="en-IN"/>
        </w:rPr>
        <w:t xml:space="preserve"> 2003 Feb 7. PMID: 12594649. </w:t>
      </w:r>
    </w:p>
    <w:p w14:paraId="02B620CF"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Xiang N, Yin T, Chen T. Gardnerella vaginalis induces NLRP3 inflammasome-mediated pyroptosis in macrophages and THP-1 monocytes. Exp Ther Med. 2021 Oct;22(4):1174. </w:t>
      </w:r>
      <w:proofErr w:type="spellStart"/>
      <w:r w:rsidRPr="00375C89">
        <w:rPr>
          <w:rFonts w:ascii="Times New Roman" w:eastAsia="Times New Roman" w:hAnsi="Times New Roman" w:cs="Times New Roman"/>
          <w:sz w:val="24"/>
          <w:szCs w:val="24"/>
          <w:lang w:eastAsia="en-IN"/>
        </w:rPr>
        <w:t>doi</w:t>
      </w:r>
      <w:proofErr w:type="spellEnd"/>
      <w:r w:rsidRPr="00375C89">
        <w:rPr>
          <w:rFonts w:ascii="Times New Roman" w:eastAsia="Times New Roman" w:hAnsi="Times New Roman" w:cs="Times New Roman"/>
          <w:sz w:val="24"/>
          <w:szCs w:val="24"/>
          <w:lang w:eastAsia="en-IN"/>
        </w:rPr>
        <w:t xml:space="preserve">: 10.3892/etm.2021.10609. </w:t>
      </w:r>
      <w:proofErr w:type="spellStart"/>
      <w:r w:rsidRPr="00375C89">
        <w:rPr>
          <w:rFonts w:ascii="Times New Roman" w:eastAsia="Times New Roman" w:hAnsi="Times New Roman" w:cs="Times New Roman"/>
          <w:sz w:val="24"/>
          <w:szCs w:val="24"/>
          <w:lang w:eastAsia="en-IN"/>
        </w:rPr>
        <w:t>Epub</w:t>
      </w:r>
      <w:proofErr w:type="spellEnd"/>
      <w:r w:rsidRPr="00375C89">
        <w:rPr>
          <w:rFonts w:ascii="Times New Roman" w:eastAsia="Times New Roman" w:hAnsi="Times New Roman" w:cs="Times New Roman"/>
          <w:sz w:val="24"/>
          <w:szCs w:val="24"/>
          <w:lang w:eastAsia="en-IN"/>
        </w:rPr>
        <w:t xml:space="preserve"> 2021 Aug 13. PMID: 34504619; PMCID: PMC8393845.</w:t>
      </w:r>
    </w:p>
    <w:p w14:paraId="20155FF2"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eastAsia="en-IN"/>
        </w:rPr>
        <w:t xml:space="preserve">Xu P, </w:t>
      </w:r>
      <w:proofErr w:type="spellStart"/>
      <w:r w:rsidRPr="00375C89">
        <w:rPr>
          <w:rFonts w:ascii="Times New Roman" w:eastAsia="Times New Roman" w:hAnsi="Times New Roman" w:cs="Times New Roman"/>
          <w:sz w:val="24"/>
          <w:szCs w:val="24"/>
          <w:lang w:eastAsia="en-IN"/>
        </w:rPr>
        <w:t>Mageswaran</w:t>
      </w:r>
      <w:proofErr w:type="spellEnd"/>
      <w:r w:rsidRPr="00375C89">
        <w:rPr>
          <w:rFonts w:ascii="Times New Roman" w:eastAsia="Times New Roman" w:hAnsi="Times New Roman" w:cs="Times New Roman"/>
          <w:sz w:val="24"/>
          <w:szCs w:val="24"/>
          <w:lang w:eastAsia="en-IN"/>
        </w:rPr>
        <w:t xml:space="preserve"> UM, Nisaa AA, Balasubramaniam SD, Rajendran D, Ismail EHBE, Kadir MN, Oon CE, Tan CS, Sany SB, Liong MT. Roles of probiotics against HPV through the gut-vaginal axis. Int J </w:t>
      </w:r>
      <w:proofErr w:type="spellStart"/>
      <w:r w:rsidRPr="00375C89">
        <w:rPr>
          <w:rFonts w:ascii="Times New Roman" w:eastAsia="Times New Roman" w:hAnsi="Times New Roman" w:cs="Times New Roman"/>
          <w:sz w:val="24"/>
          <w:szCs w:val="24"/>
          <w:lang w:eastAsia="en-IN"/>
        </w:rPr>
        <w:t>Gynaecol</w:t>
      </w:r>
      <w:proofErr w:type="spellEnd"/>
      <w:r w:rsidRPr="00375C89">
        <w:rPr>
          <w:rFonts w:ascii="Times New Roman" w:eastAsia="Times New Roman" w:hAnsi="Times New Roman" w:cs="Times New Roman"/>
          <w:sz w:val="24"/>
          <w:szCs w:val="24"/>
          <w:lang w:eastAsia="en-IN"/>
        </w:rPr>
        <w:t xml:space="preserve"> Obstet. 2025 Apr;169(1):1-8. </w:t>
      </w:r>
      <w:proofErr w:type="spellStart"/>
      <w:r w:rsidRPr="00375C89">
        <w:rPr>
          <w:rFonts w:ascii="Times New Roman" w:eastAsia="Times New Roman" w:hAnsi="Times New Roman" w:cs="Times New Roman"/>
          <w:sz w:val="24"/>
          <w:szCs w:val="24"/>
          <w:lang w:eastAsia="en-IN"/>
        </w:rPr>
        <w:t>doi</w:t>
      </w:r>
      <w:proofErr w:type="spellEnd"/>
      <w:r w:rsidRPr="00375C89">
        <w:rPr>
          <w:rFonts w:ascii="Times New Roman" w:eastAsia="Times New Roman" w:hAnsi="Times New Roman" w:cs="Times New Roman"/>
          <w:sz w:val="24"/>
          <w:szCs w:val="24"/>
          <w:lang w:eastAsia="en-IN"/>
        </w:rPr>
        <w:t xml:space="preserve">: 10.1002/ijgo.16005. </w:t>
      </w:r>
      <w:proofErr w:type="spellStart"/>
      <w:r w:rsidRPr="00375C89">
        <w:rPr>
          <w:rFonts w:ascii="Times New Roman" w:eastAsia="Times New Roman" w:hAnsi="Times New Roman" w:cs="Times New Roman"/>
          <w:sz w:val="24"/>
          <w:szCs w:val="24"/>
          <w:lang w:eastAsia="en-IN"/>
        </w:rPr>
        <w:t>Epub</w:t>
      </w:r>
      <w:proofErr w:type="spellEnd"/>
      <w:r w:rsidRPr="00375C89">
        <w:rPr>
          <w:rFonts w:ascii="Times New Roman" w:eastAsia="Times New Roman" w:hAnsi="Times New Roman" w:cs="Times New Roman"/>
          <w:sz w:val="24"/>
          <w:szCs w:val="24"/>
          <w:lang w:eastAsia="en-IN"/>
        </w:rPr>
        <w:t xml:space="preserve"> 2024 Nov 9. PMID: 39520180.</w:t>
      </w:r>
    </w:p>
    <w:p w14:paraId="6F0E89FA" w14:textId="77777777" w:rsidR="002F3AD3" w:rsidRPr="00375C89" w:rsidRDefault="002F3AD3" w:rsidP="002F3AD3">
      <w:pPr>
        <w:spacing w:after="0" w:line="240" w:lineRule="auto"/>
        <w:jc w:val="both"/>
        <w:rPr>
          <w:rFonts w:ascii="Times New Roman" w:eastAsia="Times New Roman" w:hAnsi="Times New Roman" w:cs="Times New Roman"/>
          <w:sz w:val="24"/>
          <w:szCs w:val="24"/>
          <w:lang w:val="de-CH" w:eastAsia="en-IN"/>
        </w:rPr>
      </w:pPr>
      <w:r w:rsidRPr="00375C89">
        <w:rPr>
          <w:rFonts w:ascii="Times New Roman" w:eastAsia="Times New Roman" w:hAnsi="Times New Roman" w:cs="Times New Roman"/>
          <w:sz w:val="24"/>
          <w:szCs w:val="24"/>
          <w:lang w:val="de-CH" w:eastAsia="en-IN"/>
        </w:rPr>
        <w:t xml:space="preserve">Zimmermann M, Zimmermann-Kogadeeva M, Wegmann R, Goodman AL. </w:t>
      </w:r>
      <w:r w:rsidRPr="00375C89">
        <w:rPr>
          <w:rFonts w:ascii="Times New Roman" w:eastAsia="Times New Roman" w:hAnsi="Times New Roman" w:cs="Times New Roman"/>
          <w:sz w:val="24"/>
          <w:szCs w:val="24"/>
          <w:lang w:eastAsia="en-IN"/>
        </w:rPr>
        <w:t xml:space="preserve">Mapping human microbiome drug metabolism by gut bacteria and their genes. </w:t>
      </w:r>
      <w:r w:rsidRPr="00375C89">
        <w:rPr>
          <w:rFonts w:ascii="Times New Roman" w:eastAsia="Times New Roman" w:hAnsi="Times New Roman" w:cs="Times New Roman"/>
          <w:sz w:val="24"/>
          <w:szCs w:val="24"/>
          <w:lang w:val="de-CH" w:eastAsia="en-IN"/>
        </w:rPr>
        <w:t>Nature. 2019 Jun 27;570(7762):462-7.</w:t>
      </w:r>
    </w:p>
    <w:p w14:paraId="1BD01C1B" w14:textId="77777777" w:rsidR="002F3AD3" w:rsidRPr="00375C89" w:rsidRDefault="002F3AD3" w:rsidP="002F3AD3">
      <w:pPr>
        <w:spacing w:after="0" w:line="240" w:lineRule="auto"/>
        <w:jc w:val="both"/>
        <w:rPr>
          <w:rFonts w:ascii="Times New Roman" w:eastAsia="Times New Roman" w:hAnsi="Times New Roman" w:cs="Times New Roman"/>
          <w:sz w:val="24"/>
          <w:szCs w:val="24"/>
          <w:lang w:eastAsia="en-IN"/>
        </w:rPr>
      </w:pPr>
      <w:r w:rsidRPr="00375C89">
        <w:rPr>
          <w:rFonts w:ascii="Times New Roman" w:eastAsia="Times New Roman" w:hAnsi="Times New Roman" w:cs="Times New Roman"/>
          <w:sz w:val="24"/>
          <w:szCs w:val="24"/>
          <w:lang w:val="de-CH" w:eastAsia="en-IN"/>
        </w:rPr>
        <w:t xml:space="preserve">Zimmermann M, Zimmermann-Kogadeeva M, Wegmann R, Goodman AL. </w:t>
      </w:r>
      <w:r w:rsidRPr="00375C89">
        <w:rPr>
          <w:rFonts w:ascii="Times New Roman" w:eastAsia="Times New Roman" w:hAnsi="Times New Roman" w:cs="Times New Roman"/>
          <w:sz w:val="24"/>
          <w:szCs w:val="24"/>
          <w:lang w:eastAsia="en-IN"/>
        </w:rPr>
        <w:t xml:space="preserve">Mapping human microbiome drug metabolism by gut bacteria and their genes. Nature. 2019;570(7762):462-467. </w:t>
      </w:r>
    </w:p>
    <w:p w14:paraId="746A470C" w14:textId="19D2FB06" w:rsidR="00784373" w:rsidRPr="00381EEE" w:rsidRDefault="002F3AD3" w:rsidP="002F3AD3">
      <w:pPr>
        <w:spacing w:after="0" w:line="240" w:lineRule="auto"/>
        <w:jc w:val="both"/>
        <w:rPr>
          <w:rFonts w:ascii="Times New Roman" w:hAnsi="Times New Roman" w:cs="Times New Roman"/>
          <w:sz w:val="24"/>
          <w:szCs w:val="24"/>
        </w:rPr>
      </w:pPr>
      <w:r w:rsidRPr="00375C89">
        <w:rPr>
          <w:rFonts w:ascii="Times New Roman" w:eastAsia="Times New Roman" w:hAnsi="Times New Roman" w:cs="Times New Roman"/>
          <w:sz w:val="24"/>
          <w:szCs w:val="24"/>
          <w:lang w:eastAsia="en-IN"/>
        </w:rPr>
        <w:t xml:space="preserve">Zozaya M, Ferris MJ, Siren JD, et al. Bacterial communities in penile skin, male urethra, and vaginas of heterosexual couples with and without bacterial vaginosis. Microbiome. </w:t>
      </w:r>
      <w:proofErr w:type="gramStart"/>
      <w:r w:rsidRPr="00375C89">
        <w:rPr>
          <w:rFonts w:ascii="Times New Roman" w:eastAsia="Times New Roman" w:hAnsi="Times New Roman" w:cs="Times New Roman"/>
          <w:sz w:val="24"/>
          <w:szCs w:val="24"/>
          <w:lang w:eastAsia="en-IN"/>
        </w:rPr>
        <w:t>2016;4:16</w:t>
      </w:r>
      <w:proofErr w:type="gramEnd"/>
      <w:r w:rsidRPr="00375C89">
        <w:rPr>
          <w:rFonts w:ascii="Times New Roman" w:eastAsia="Times New Roman" w:hAnsi="Times New Roman" w:cs="Times New Roman"/>
          <w:sz w:val="24"/>
          <w:szCs w:val="24"/>
          <w:lang w:eastAsia="en-IN"/>
        </w:rPr>
        <w:t>. doi:10.1186/s40168-016-0161-6</w:t>
      </w:r>
      <w:r w:rsidR="00784373" w:rsidRPr="00381EEE">
        <w:rPr>
          <w:rFonts w:ascii="Times New Roman" w:hAnsi="Times New Roman" w:cs="Times New Roman"/>
          <w:sz w:val="24"/>
          <w:szCs w:val="24"/>
        </w:rPr>
        <w:t xml:space="preserve"> </w:t>
      </w:r>
    </w:p>
    <w:p w14:paraId="687FDEDB" w14:textId="77777777" w:rsidR="00784373" w:rsidRPr="00381EEE" w:rsidRDefault="00784373" w:rsidP="002F3AD3">
      <w:pPr>
        <w:spacing w:after="0" w:line="240" w:lineRule="auto"/>
        <w:ind w:left="360"/>
        <w:jc w:val="both"/>
        <w:rPr>
          <w:rFonts w:ascii="Times New Roman" w:hAnsi="Times New Roman" w:cs="Times New Roman"/>
          <w:sz w:val="24"/>
          <w:szCs w:val="24"/>
        </w:rPr>
      </w:pPr>
    </w:p>
    <w:sectPr w:rsidR="00784373" w:rsidRPr="00381EE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620E" w14:textId="77777777" w:rsidR="00AE7E85" w:rsidRDefault="00AE7E85" w:rsidP="00E21F53">
      <w:pPr>
        <w:spacing w:after="0" w:line="240" w:lineRule="auto"/>
      </w:pPr>
      <w:r>
        <w:separator/>
      </w:r>
    </w:p>
  </w:endnote>
  <w:endnote w:type="continuationSeparator" w:id="0">
    <w:p w14:paraId="262B9669" w14:textId="77777777" w:rsidR="00AE7E85" w:rsidRDefault="00AE7E85" w:rsidP="00E2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878747"/>
      <w:docPartObj>
        <w:docPartGallery w:val="Page Numbers (Bottom of Page)"/>
        <w:docPartUnique/>
      </w:docPartObj>
    </w:sdtPr>
    <w:sdtEndPr>
      <w:rPr>
        <w:noProof/>
      </w:rPr>
    </w:sdtEndPr>
    <w:sdtContent>
      <w:p w14:paraId="10B85C2D" w14:textId="77777777" w:rsidR="00E377F3" w:rsidRDefault="00E377F3">
        <w:pPr>
          <w:pStyle w:val="Footer"/>
          <w:jc w:val="right"/>
        </w:pPr>
        <w:r>
          <w:fldChar w:fldCharType="begin"/>
        </w:r>
        <w:r>
          <w:instrText xml:space="preserve"> PAGE   \* MERGEFORMAT </w:instrText>
        </w:r>
        <w:r>
          <w:fldChar w:fldCharType="separate"/>
        </w:r>
        <w:r w:rsidR="006706A4">
          <w:rPr>
            <w:noProof/>
          </w:rPr>
          <w:t>18</w:t>
        </w:r>
        <w:r>
          <w:rPr>
            <w:noProof/>
          </w:rPr>
          <w:fldChar w:fldCharType="end"/>
        </w:r>
      </w:p>
    </w:sdtContent>
  </w:sdt>
  <w:p w14:paraId="0BB4D4D6" w14:textId="77777777" w:rsidR="00E377F3" w:rsidRDefault="00E3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0C42" w14:textId="77777777" w:rsidR="00AE7E85" w:rsidRDefault="00AE7E85" w:rsidP="00E21F53">
      <w:pPr>
        <w:spacing w:after="0" w:line="240" w:lineRule="auto"/>
      </w:pPr>
      <w:r>
        <w:separator/>
      </w:r>
    </w:p>
  </w:footnote>
  <w:footnote w:type="continuationSeparator" w:id="0">
    <w:p w14:paraId="78E88363" w14:textId="77777777" w:rsidR="00AE7E85" w:rsidRDefault="00AE7E85" w:rsidP="00E21F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1150"/>
    <w:multiLevelType w:val="multilevel"/>
    <w:tmpl w:val="D8CCACF0"/>
    <w:lvl w:ilvl="0">
      <w:start w:val="9"/>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2207780"/>
    <w:multiLevelType w:val="multilevel"/>
    <w:tmpl w:val="C7361FE0"/>
    <w:lvl w:ilvl="0">
      <w:start w:val="1"/>
      <w:numFmt w:val="bullet"/>
      <w:lvlText w:val=""/>
      <w:lvlJc w:val="left"/>
      <w:pPr>
        <w:ind w:left="360" w:hanging="360"/>
      </w:pPr>
      <w:rPr>
        <w:rFonts w:ascii="Symbol" w:hAnsi="Symbol" w:hint="default"/>
      </w:rPr>
    </w:lvl>
    <w:lvl w:ilvl="1">
      <w:start w:val="1"/>
      <w:numFmt w:val="bullet"/>
      <w:lvlText w:val=""/>
      <w:lvlJc w:val="left"/>
      <w:pPr>
        <w:ind w:left="78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0B21729"/>
    <w:multiLevelType w:val="hybridMultilevel"/>
    <w:tmpl w:val="8612FF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0F91F1E"/>
    <w:multiLevelType w:val="hybridMultilevel"/>
    <w:tmpl w:val="D58E34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B77171"/>
    <w:multiLevelType w:val="hybridMultilevel"/>
    <w:tmpl w:val="E15038F4"/>
    <w:lvl w:ilvl="0" w:tplc="CFCA1AAE">
      <w:start w:val="1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1280534"/>
    <w:multiLevelType w:val="multilevel"/>
    <w:tmpl w:val="FA2AC0D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6E3696"/>
    <w:multiLevelType w:val="hybridMultilevel"/>
    <w:tmpl w:val="56D46CA6"/>
    <w:lvl w:ilvl="0" w:tplc="B1A8F778">
      <w:start w:val="10"/>
      <w:numFmt w:val="upperRoman"/>
      <w:lvlText w:val="%1."/>
      <w:lvlJc w:val="left"/>
      <w:pPr>
        <w:ind w:left="1800" w:hanging="720"/>
      </w:pPr>
      <w:rPr>
        <w:rFonts w:hint="default"/>
        <w:b w:val="0"/>
        <w:bCs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36BA4D3B"/>
    <w:multiLevelType w:val="multilevel"/>
    <w:tmpl w:val="273A5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E5FF7"/>
    <w:multiLevelType w:val="multilevel"/>
    <w:tmpl w:val="9C3410D6"/>
    <w:lvl w:ilvl="0">
      <w:start w:val="5"/>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9094BAC"/>
    <w:multiLevelType w:val="multilevel"/>
    <w:tmpl w:val="9CBC700E"/>
    <w:lvl w:ilvl="0">
      <w:start w:val="11"/>
      <w:numFmt w:val="decimal"/>
      <w:lvlText w:val="%1"/>
      <w:lvlJc w:val="left"/>
      <w:pPr>
        <w:ind w:left="372" w:hanging="372"/>
      </w:pPr>
      <w:rPr>
        <w:rFonts w:hint="default"/>
        <w:b/>
      </w:rPr>
    </w:lvl>
    <w:lvl w:ilvl="1">
      <w:start w:val="4"/>
      <w:numFmt w:val="decimal"/>
      <w:lvlText w:val="%1.%2"/>
      <w:lvlJc w:val="left"/>
      <w:pPr>
        <w:ind w:left="372" w:hanging="37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39692EA6"/>
    <w:multiLevelType w:val="hybridMultilevel"/>
    <w:tmpl w:val="8FE01F98"/>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1" w15:restartNumberingAfterBreak="0">
    <w:nsid w:val="40814A2D"/>
    <w:multiLevelType w:val="multilevel"/>
    <w:tmpl w:val="160886E4"/>
    <w:lvl w:ilvl="0">
      <w:start w:val="2"/>
      <w:numFmt w:val="decimal"/>
      <w:lvlText w:val="%1"/>
      <w:lvlJc w:val="left"/>
      <w:pPr>
        <w:ind w:left="360" w:hanging="360"/>
      </w:pPr>
      <w:rPr>
        <w:rFonts w:hint="default"/>
      </w:rPr>
    </w:lvl>
    <w:lvl w:ilvl="1">
      <w:start w:val="1"/>
      <w:numFmt w:val="bullet"/>
      <w:lvlText w:val=""/>
      <w:lvlJc w:val="left"/>
      <w:pPr>
        <w:ind w:left="78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1D30F8E"/>
    <w:multiLevelType w:val="hybridMultilevel"/>
    <w:tmpl w:val="14821FEA"/>
    <w:lvl w:ilvl="0" w:tplc="C908AB24">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1D5145A"/>
    <w:multiLevelType w:val="multilevel"/>
    <w:tmpl w:val="CF685B26"/>
    <w:lvl w:ilvl="0">
      <w:start w:val="1"/>
      <w:numFmt w:val="decimal"/>
      <w:lvlText w:val="%1."/>
      <w:lvlJc w:val="left"/>
      <w:pPr>
        <w:ind w:left="720" w:hanging="360"/>
      </w:pPr>
      <w:rPr>
        <w:rFonts w:eastAsia="Times New Roman" w:hint="default"/>
        <w:b/>
        <w:bCs/>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D95FBA"/>
    <w:multiLevelType w:val="hybridMultilevel"/>
    <w:tmpl w:val="723C054C"/>
    <w:lvl w:ilvl="0" w:tplc="0D32BAA2">
      <w:start w:val="6"/>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5D4A3343"/>
    <w:multiLevelType w:val="hybridMultilevel"/>
    <w:tmpl w:val="87F40E8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6" w15:restartNumberingAfterBreak="0">
    <w:nsid w:val="5D6948CB"/>
    <w:multiLevelType w:val="hybridMultilevel"/>
    <w:tmpl w:val="B7C6DE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7667DF5"/>
    <w:multiLevelType w:val="hybridMultilevel"/>
    <w:tmpl w:val="4E3CD95C"/>
    <w:lvl w:ilvl="0" w:tplc="BBBA7F2C">
      <w:start w:val="7"/>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73A33DA"/>
    <w:multiLevelType w:val="multilevel"/>
    <w:tmpl w:val="C5ACD238"/>
    <w:lvl w:ilvl="0">
      <w:start w:val="9"/>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9" w15:restartNumberingAfterBreak="0">
    <w:nsid w:val="78AB10CB"/>
    <w:multiLevelType w:val="multilevel"/>
    <w:tmpl w:val="CC381DDC"/>
    <w:lvl w:ilvl="0">
      <w:start w:val="1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AD76BDD"/>
    <w:multiLevelType w:val="multilevel"/>
    <w:tmpl w:val="8392FB6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16cid:durableId="476143619">
    <w:abstractNumId w:val="13"/>
  </w:num>
  <w:num w:numId="2" w16cid:durableId="1360007590">
    <w:abstractNumId w:val="14"/>
  </w:num>
  <w:num w:numId="3" w16cid:durableId="2138139916">
    <w:abstractNumId w:val="8"/>
  </w:num>
  <w:num w:numId="4" w16cid:durableId="1782652750">
    <w:abstractNumId w:val="0"/>
  </w:num>
  <w:num w:numId="5" w16cid:durableId="1241016192">
    <w:abstractNumId w:val="18"/>
  </w:num>
  <w:num w:numId="6" w16cid:durableId="718822936">
    <w:abstractNumId w:val="12"/>
  </w:num>
  <w:num w:numId="7" w16cid:durableId="1490754504">
    <w:abstractNumId w:val="20"/>
  </w:num>
  <w:num w:numId="8" w16cid:durableId="1265843804">
    <w:abstractNumId w:val="19"/>
  </w:num>
  <w:num w:numId="9" w16cid:durableId="1122847740">
    <w:abstractNumId w:val="9"/>
  </w:num>
  <w:num w:numId="10" w16cid:durableId="976254622">
    <w:abstractNumId w:val="1"/>
  </w:num>
  <w:num w:numId="11" w16cid:durableId="476997327">
    <w:abstractNumId w:val="7"/>
  </w:num>
  <w:num w:numId="12" w16cid:durableId="1228154301">
    <w:abstractNumId w:val="5"/>
  </w:num>
  <w:num w:numId="13" w16cid:durableId="45298505">
    <w:abstractNumId w:val="15"/>
  </w:num>
  <w:num w:numId="14" w16cid:durableId="1125738159">
    <w:abstractNumId w:val="11"/>
  </w:num>
  <w:num w:numId="15" w16cid:durableId="2123567649">
    <w:abstractNumId w:val="2"/>
  </w:num>
  <w:num w:numId="16" w16cid:durableId="1770159403">
    <w:abstractNumId w:val="10"/>
  </w:num>
  <w:num w:numId="17" w16cid:durableId="1646274516">
    <w:abstractNumId w:val="16"/>
  </w:num>
  <w:num w:numId="18" w16cid:durableId="1026294360">
    <w:abstractNumId w:val="17"/>
  </w:num>
  <w:num w:numId="19" w16cid:durableId="516234951">
    <w:abstractNumId w:val="4"/>
  </w:num>
  <w:num w:numId="20" w16cid:durableId="1636834789">
    <w:abstractNumId w:val="6"/>
  </w:num>
  <w:num w:numId="21" w16cid:durableId="18751475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C5"/>
    <w:rsid w:val="00000E0E"/>
    <w:rsid w:val="00002D22"/>
    <w:rsid w:val="0000340E"/>
    <w:rsid w:val="00012978"/>
    <w:rsid w:val="00014023"/>
    <w:rsid w:val="00017DA0"/>
    <w:rsid w:val="00025145"/>
    <w:rsid w:val="0003736A"/>
    <w:rsid w:val="00040017"/>
    <w:rsid w:val="00041713"/>
    <w:rsid w:val="00044725"/>
    <w:rsid w:val="000459D9"/>
    <w:rsid w:val="0005203E"/>
    <w:rsid w:val="0005485B"/>
    <w:rsid w:val="00055CA0"/>
    <w:rsid w:val="00056D86"/>
    <w:rsid w:val="000605E5"/>
    <w:rsid w:val="00063588"/>
    <w:rsid w:val="00065DDC"/>
    <w:rsid w:val="00065DF1"/>
    <w:rsid w:val="00073A7E"/>
    <w:rsid w:val="00082D2B"/>
    <w:rsid w:val="00083AFA"/>
    <w:rsid w:val="00086325"/>
    <w:rsid w:val="00087D60"/>
    <w:rsid w:val="0009305B"/>
    <w:rsid w:val="000939E2"/>
    <w:rsid w:val="00094F0E"/>
    <w:rsid w:val="00095205"/>
    <w:rsid w:val="000973E8"/>
    <w:rsid w:val="000974F3"/>
    <w:rsid w:val="00097864"/>
    <w:rsid w:val="000A1CB5"/>
    <w:rsid w:val="000B08AB"/>
    <w:rsid w:val="000B146D"/>
    <w:rsid w:val="000B4731"/>
    <w:rsid w:val="000B63C3"/>
    <w:rsid w:val="000C055A"/>
    <w:rsid w:val="000D0948"/>
    <w:rsid w:val="000D2FB4"/>
    <w:rsid w:val="000E2821"/>
    <w:rsid w:val="000F0909"/>
    <w:rsid w:val="000F0B7F"/>
    <w:rsid w:val="000F3741"/>
    <w:rsid w:val="000F6781"/>
    <w:rsid w:val="000F6929"/>
    <w:rsid w:val="000F7B54"/>
    <w:rsid w:val="00102FF9"/>
    <w:rsid w:val="00104DDC"/>
    <w:rsid w:val="0010715F"/>
    <w:rsid w:val="001072D6"/>
    <w:rsid w:val="0012340E"/>
    <w:rsid w:val="001238D7"/>
    <w:rsid w:val="001374C0"/>
    <w:rsid w:val="00141290"/>
    <w:rsid w:val="00141E7D"/>
    <w:rsid w:val="00146F8A"/>
    <w:rsid w:val="00153658"/>
    <w:rsid w:val="001608C4"/>
    <w:rsid w:val="001763BB"/>
    <w:rsid w:val="00180078"/>
    <w:rsid w:val="0018710D"/>
    <w:rsid w:val="001875E8"/>
    <w:rsid w:val="001903F7"/>
    <w:rsid w:val="00190CEF"/>
    <w:rsid w:val="001918A0"/>
    <w:rsid w:val="00191FF8"/>
    <w:rsid w:val="00197DAF"/>
    <w:rsid w:val="001B46F2"/>
    <w:rsid w:val="001C5BBD"/>
    <w:rsid w:val="001C71EC"/>
    <w:rsid w:val="001C7575"/>
    <w:rsid w:val="001D0B9F"/>
    <w:rsid w:val="001D127C"/>
    <w:rsid w:val="001D4611"/>
    <w:rsid w:val="001D54C8"/>
    <w:rsid w:val="001D5EEF"/>
    <w:rsid w:val="001E122C"/>
    <w:rsid w:val="001F3341"/>
    <w:rsid w:val="001F48BE"/>
    <w:rsid w:val="001F6646"/>
    <w:rsid w:val="00204C2E"/>
    <w:rsid w:val="002142DF"/>
    <w:rsid w:val="002205AC"/>
    <w:rsid w:val="002218D9"/>
    <w:rsid w:val="00224491"/>
    <w:rsid w:val="00225332"/>
    <w:rsid w:val="00225ECF"/>
    <w:rsid w:val="00230C01"/>
    <w:rsid w:val="002410EF"/>
    <w:rsid w:val="0024362B"/>
    <w:rsid w:val="00243F45"/>
    <w:rsid w:val="002447B8"/>
    <w:rsid w:val="00245B5D"/>
    <w:rsid w:val="00245E10"/>
    <w:rsid w:val="00245EF0"/>
    <w:rsid w:val="002461E3"/>
    <w:rsid w:val="00260EA6"/>
    <w:rsid w:val="002639C7"/>
    <w:rsid w:val="00263B24"/>
    <w:rsid w:val="00272775"/>
    <w:rsid w:val="00283942"/>
    <w:rsid w:val="00283A6C"/>
    <w:rsid w:val="00283C9D"/>
    <w:rsid w:val="00290A38"/>
    <w:rsid w:val="002935CE"/>
    <w:rsid w:val="002A0A90"/>
    <w:rsid w:val="002A4E8B"/>
    <w:rsid w:val="002A4F43"/>
    <w:rsid w:val="002A6A4E"/>
    <w:rsid w:val="002B0A23"/>
    <w:rsid w:val="002B3806"/>
    <w:rsid w:val="002C1510"/>
    <w:rsid w:val="002D0E42"/>
    <w:rsid w:val="002D1CAC"/>
    <w:rsid w:val="002D2634"/>
    <w:rsid w:val="002D4EC7"/>
    <w:rsid w:val="002E577E"/>
    <w:rsid w:val="002F129B"/>
    <w:rsid w:val="002F1A8C"/>
    <w:rsid w:val="002F24F7"/>
    <w:rsid w:val="002F2ED6"/>
    <w:rsid w:val="002F3AD3"/>
    <w:rsid w:val="002F5A4F"/>
    <w:rsid w:val="002F5DA4"/>
    <w:rsid w:val="002F5E39"/>
    <w:rsid w:val="003068BE"/>
    <w:rsid w:val="00307042"/>
    <w:rsid w:val="00310022"/>
    <w:rsid w:val="003146E3"/>
    <w:rsid w:val="00327767"/>
    <w:rsid w:val="00332AC9"/>
    <w:rsid w:val="00336559"/>
    <w:rsid w:val="003418EE"/>
    <w:rsid w:val="003500F4"/>
    <w:rsid w:val="003506B9"/>
    <w:rsid w:val="003610B0"/>
    <w:rsid w:val="0036275C"/>
    <w:rsid w:val="00375C89"/>
    <w:rsid w:val="00381EEE"/>
    <w:rsid w:val="00382D38"/>
    <w:rsid w:val="00384949"/>
    <w:rsid w:val="00385D7B"/>
    <w:rsid w:val="003A006F"/>
    <w:rsid w:val="003A2B00"/>
    <w:rsid w:val="003A4DE7"/>
    <w:rsid w:val="003A6C0A"/>
    <w:rsid w:val="003A70AD"/>
    <w:rsid w:val="003A7E62"/>
    <w:rsid w:val="003B2B69"/>
    <w:rsid w:val="003B31ED"/>
    <w:rsid w:val="003B3AB9"/>
    <w:rsid w:val="003B75D4"/>
    <w:rsid w:val="003C4A4E"/>
    <w:rsid w:val="003C504F"/>
    <w:rsid w:val="003D27C5"/>
    <w:rsid w:val="003D2A38"/>
    <w:rsid w:val="003D3970"/>
    <w:rsid w:val="003D4E0F"/>
    <w:rsid w:val="003E078D"/>
    <w:rsid w:val="003E1388"/>
    <w:rsid w:val="003E77AB"/>
    <w:rsid w:val="00404A0D"/>
    <w:rsid w:val="00413286"/>
    <w:rsid w:val="00417550"/>
    <w:rsid w:val="00417E88"/>
    <w:rsid w:val="00425C71"/>
    <w:rsid w:val="004262C4"/>
    <w:rsid w:val="00430C14"/>
    <w:rsid w:val="00430E55"/>
    <w:rsid w:val="004313D2"/>
    <w:rsid w:val="004432BD"/>
    <w:rsid w:val="00461102"/>
    <w:rsid w:val="00466404"/>
    <w:rsid w:val="0047304E"/>
    <w:rsid w:val="004755AF"/>
    <w:rsid w:val="00480810"/>
    <w:rsid w:val="004814C0"/>
    <w:rsid w:val="00484574"/>
    <w:rsid w:val="00493692"/>
    <w:rsid w:val="004963AF"/>
    <w:rsid w:val="00496A01"/>
    <w:rsid w:val="004A01AA"/>
    <w:rsid w:val="004A37CA"/>
    <w:rsid w:val="004A3E8F"/>
    <w:rsid w:val="004A7E43"/>
    <w:rsid w:val="004B0036"/>
    <w:rsid w:val="004B4B2F"/>
    <w:rsid w:val="004C0EF8"/>
    <w:rsid w:val="004C3426"/>
    <w:rsid w:val="004C7D77"/>
    <w:rsid w:val="004D0524"/>
    <w:rsid w:val="004D108E"/>
    <w:rsid w:val="004D1CB4"/>
    <w:rsid w:val="004D4053"/>
    <w:rsid w:val="004D7068"/>
    <w:rsid w:val="004D7C6E"/>
    <w:rsid w:val="004F5D2D"/>
    <w:rsid w:val="0050474C"/>
    <w:rsid w:val="00504F86"/>
    <w:rsid w:val="005054F1"/>
    <w:rsid w:val="0051525C"/>
    <w:rsid w:val="0051566F"/>
    <w:rsid w:val="00522E39"/>
    <w:rsid w:val="00537CD2"/>
    <w:rsid w:val="005400E4"/>
    <w:rsid w:val="0054019B"/>
    <w:rsid w:val="00541E75"/>
    <w:rsid w:val="00547D3E"/>
    <w:rsid w:val="00550222"/>
    <w:rsid w:val="005546BC"/>
    <w:rsid w:val="00565423"/>
    <w:rsid w:val="00566C3E"/>
    <w:rsid w:val="00570A05"/>
    <w:rsid w:val="0057498D"/>
    <w:rsid w:val="00577464"/>
    <w:rsid w:val="0058077D"/>
    <w:rsid w:val="00580F39"/>
    <w:rsid w:val="00582267"/>
    <w:rsid w:val="00583DD5"/>
    <w:rsid w:val="005847B1"/>
    <w:rsid w:val="005864ED"/>
    <w:rsid w:val="00586F28"/>
    <w:rsid w:val="00592C9B"/>
    <w:rsid w:val="005954F7"/>
    <w:rsid w:val="005971E6"/>
    <w:rsid w:val="005A0B66"/>
    <w:rsid w:val="005A6C17"/>
    <w:rsid w:val="005B409A"/>
    <w:rsid w:val="005C01E3"/>
    <w:rsid w:val="005C0D40"/>
    <w:rsid w:val="005C33E0"/>
    <w:rsid w:val="005C761F"/>
    <w:rsid w:val="005C7D9B"/>
    <w:rsid w:val="005D0A4B"/>
    <w:rsid w:val="005D2E99"/>
    <w:rsid w:val="005D5391"/>
    <w:rsid w:val="005D6A66"/>
    <w:rsid w:val="005E2CE1"/>
    <w:rsid w:val="005E3E7A"/>
    <w:rsid w:val="005E5B07"/>
    <w:rsid w:val="005F1337"/>
    <w:rsid w:val="005F4F6E"/>
    <w:rsid w:val="00600BB8"/>
    <w:rsid w:val="00602A2C"/>
    <w:rsid w:val="006038AD"/>
    <w:rsid w:val="00604DC6"/>
    <w:rsid w:val="006106E3"/>
    <w:rsid w:val="00610C27"/>
    <w:rsid w:val="0061110E"/>
    <w:rsid w:val="0061240E"/>
    <w:rsid w:val="0061429B"/>
    <w:rsid w:val="00614FC8"/>
    <w:rsid w:val="00623D36"/>
    <w:rsid w:val="00626263"/>
    <w:rsid w:val="00635F0F"/>
    <w:rsid w:val="00636C70"/>
    <w:rsid w:val="006441F2"/>
    <w:rsid w:val="00645E71"/>
    <w:rsid w:val="0066151B"/>
    <w:rsid w:val="00663A4F"/>
    <w:rsid w:val="006706A4"/>
    <w:rsid w:val="00673405"/>
    <w:rsid w:val="00680751"/>
    <w:rsid w:val="00680D7A"/>
    <w:rsid w:val="00684999"/>
    <w:rsid w:val="006929AF"/>
    <w:rsid w:val="006941FD"/>
    <w:rsid w:val="00695FBA"/>
    <w:rsid w:val="006A445A"/>
    <w:rsid w:val="006A71C8"/>
    <w:rsid w:val="006B0631"/>
    <w:rsid w:val="006B2496"/>
    <w:rsid w:val="006B4A23"/>
    <w:rsid w:val="006C28FA"/>
    <w:rsid w:val="006C33FE"/>
    <w:rsid w:val="006C36F6"/>
    <w:rsid w:val="006C4669"/>
    <w:rsid w:val="006C4AE7"/>
    <w:rsid w:val="006C5FBB"/>
    <w:rsid w:val="006D2C18"/>
    <w:rsid w:val="006E5453"/>
    <w:rsid w:val="006F0546"/>
    <w:rsid w:val="006F140C"/>
    <w:rsid w:val="006F3523"/>
    <w:rsid w:val="006F426B"/>
    <w:rsid w:val="006F6FFF"/>
    <w:rsid w:val="00703260"/>
    <w:rsid w:val="00705E76"/>
    <w:rsid w:val="00707A93"/>
    <w:rsid w:val="00716EF7"/>
    <w:rsid w:val="007200B2"/>
    <w:rsid w:val="007209BD"/>
    <w:rsid w:val="00720C90"/>
    <w:rsid w:val="007212B5"/>
    <w:rsid w:val="00722A3D"/>
    <w:rsid w:val="00724CA4"/>
    <w:rsid w:val="00724F03"/>
    <w:rsid w:val="00732226"/>
    <w:rsid w:val="00732F3C"/>
    <w:rsid w:val="00745AA6"/>
    <w:rsid w:val="0074739C"/>
    <w:rsid w:val="00747E87"/>
    <w:rsid w:val="007509BC"/>
    <w:rsid w:val="00755064"/>
    <w:rsid w:val="00755983"/>
    <w:rsid w:val="0076202A"/>
    <w:rsid w:val="0076236D"/>
    <w:rsid w:val="00766656"/>
    <w:rsid w:val="00767106"/>
    <w:rsid w:val="00783B76"/>
    <w:rsid w:val="00784373"/>
    <w:rsid w:val="00786842"/>
    <w:rsid w:val="00787B70"/>
    <w:rsid w:val="00787BF5"/>
    <w:rsid w:val="00792C9D"/>
    <w:rsid w:val="00793A2B"/>
    <w:rsid w:val="007949A7"/>
    <w:rsid w:val="0079798A"/>
    <w:rsid w:val="007A2DD1"/>
    <w:rsid w:val="007A559C"/>
    <w:rsid w:val="007B1491"/>
    <w:rsid w:val="007B2EEA"/>
    <w:rsid w:val="007C1F94"/>
    <w:rsid w:val="007C7FFE"/>
    <w:rsid w:val="007E0193"/>
    <w:rsid w:val="007E17F2"/>
    <w:rsid w:val="007E5171"/>
    <w:rsid w:val="007E5F7E"/>
    <w:rsid w:val="007F0515"/>
    <w:rsid w:val="007F1F65"/>
    <w:rsid w:val="007F6A70"/>
    <w:rsid w:val="00802C72"/>
    <w:rsid w:val="008038F1"/>
    <w:rsid w:val="00804959"/>
    <w:rsid w:val="008115F0"/>
    <w:rsid w:val="00813103"/>
    <w:rsid w:val="00817834"/>
    <w:rsid w:val="008204DF"/>
    <w:rsid w:val="00823A73"/>
    <w:rsid w:val="008243F7"/>
    <w:rsid w:val="00825251"/>
    <w:rsid w:val="00836BE3"/>
    <w:rsid w:val="00850EB0"/>
    <w:rsid w:val="00855307"/>
    <w:rsid w:val="008602CB"/>
    <w:rsid w:val="00865205"/>
    <w:rsid w:val="008656CD"/>
    <w:rsid w:val="00872220"/>
    <w:rsid w:val="00876B6A"/>
    <w:rsid w:val="008802F9"/>
    <w:rsid w:val="00880CC1"/>
    <w:rsid w:val="00894B7B"/>
    <w:rsid w:val="00895F8E"/>
    <w:rsid w:val="008A7F99"/>
    <w:rsid w:val="008B09F4"/>
    <w:rsid w:val="008B1FAD"/>
    <w:rsid w:val="008B252C"/>
    <w:rsid w:val="008B5FF6"/>
    <w:rsid w:val="008C158F"/>
    <w:rsid w:val="008D159E"/>
    <w:rsid w:val="008D7FB3"/>
    <w:rsid w:val="008E15D1"/>
    <w:rsid w:val="008E41C7"/>
    <w:rsid w:val="008E78BA"/>
    <w:rsid w:val="008F3AE7"/>
    <w:rsid w:val="008F6EF4"/>
    <w:rsid w:val="00903D1D"/>
    <w:rsid w:val="009107D1"/>
    <w:rsid w:val="00910D01"/>
    <w:rsid w:val="00924259"/>
    <w:rsid w:val="0092555E"/>
    <w:rsid w:val="009320F8"/>
    <w:rsid w:val="00932AA3"/>
    <w:rsid w:val="00932AF8"/>
    <w:rsid w:val="00935319"/>
    <w:rsid w:val="0094193B"/>
    <w:rsid w:val="00943784"/>
    <w:rsid w:val="00945340"/>
    <w:rsid w:val="00946105"/>
    <w:rsid w:val="00952F31"/>
    <w:rsid w:val="00954AB9"/>
    <w:rsid w:val="00962019"/>
    <w:rsid w:val="00964AF8"/>
    <w:rsid w:val="00964D4C"/>
    <w:rsid w:val="00965310"/>
    <w:rsid w:val="00965AA6"/>
    <w:rsid w:val="009723C5"/>
    <w:rsid w:val="0097562D"/>
    <w:rsid w:val="00984AFF"/>
    <w:rsid w:val="00984C42"/>
    <w:rsid w:val="00985972"/>
    <w:rsid w:val="009878BC"/>
    <w:rsid w:val="009922C2"/>
    <w:rsid w:val="00992CF3"/>
    <w:rsid w:val="00997E26"/>
    <w:rsid w:val="009A3CEA"/>
    <w:rsid w:val="009A732B"/>
    <w:rsid w:val="009B0EC4"/>
    <w:rsid w:val="009B1171"/>
    <w:rsid w:val="009B11F2"/>
    <w:rsid w:val="009B2E4F"/>
    <w:rsid w:val="009B2EE4"/>
    <w:rsid w:val="009B4F6C"/>
    <w:rsid w:val="009B7556"/>
    <w:rsid w:val="009B7684"/>
    <w:rsid w:val="009C0EC6"/>
    <w:rsid w:val="009D0C67"/>
    <w:rsid w:val="009D2782"/>
    <w:rsid w:val="009D2E73"/>
    <w:rsid w:val="009D347B"/>
    <w:rsid w:val="009D3A92"/>
    <w:rsid w:val="009D4C64"/>
    <w:rsid w:val="009D7FEF"/>
    <w:rsid w:val="009E0067"/>
    <w:rsid w:val="009E6AE0"/>
    <w:rsid w:val="009F4D50"/>
    <w:rsid w:val="00A00320"/>
    <w:rsid w:val="00A0406F"/>
    <w:rsid w:val="00A0422E"/>
    <w:rsid w:val="00A12FF1"/>
    <w:rsid w:val="00A213DC"/>
    <w:rsid w:val="00A2242C"/>
    <w:rsid w:val="00A22C7F"/>
    <w:rsid w:val="00A22F91"/>
    <w:rsid w:val="00A239C5"/>
    <w:rsid w:val="00A37B14"/>
    <w:rsid w:val="00A441A1"/>
    <w:rsid w:val="00A443FF"/>
    <w:rsid w:val="00A4537D"/>
    <w:rsid w:val="00A5463D"/>
    <w:rsid w:val="00A57F01"/>
    <w:rsid w:val="00A57F8E"/>
    <w:rsid w:val="00A64BE4"/>
    <w:rsid w:val="00A66FA8"/>
    <w:rsid w:val="00A7316B"/>
    <w:rsid w:val="00A73994"/>
    <w:rsid w:val="00A74808"/>
    <w:rsid w:val="00A7538F"/>
    <w:rsid w:val="00A82A43"/>
    <w:rsid w:val="00A87C58"/>
    <w:rsid w:val="00A944CD"/>
    <w:rsid w:val="00A94FEB"/>
    <w:rsid w:val="00A953D4"/>
    <w:rsid w:val="00A96570"/>
    <w:rsid w:val="00A96DB6"/>
    <w:rsid w:val="00A97DA3"/>
    <w:rsid w:val="00AA16D5"/>
    <w:rsid w:val="00AA67CF"/>
    <w:rsid w:val="00AB1979"/>
    <w:rsid w:val="00AB3E73"/>
    <w:rsid w:val="00AB6EFD"/>
    <w:rsid w:val="00AC148C"/>
    <w:rsid w:val="00AC215A"/>
    <w:rsid w:val="00AC313B"/>
    <w:rsid w:val="00AC37B2"/>
    <w:rsid w:val="00AC4558"/>
    <w:rsid w:val="00AC5F1A"/>
    <w:rsid w:val="00AC605B"/>
    <w:rsid w:val="00AC6186"/>
    <w:rsid w:val="00AD3615"/>
    <w:rsid w:val="00AD570D"/>
    <w:rsid w:val="00AE39C1"/>
    <w:rsid w:val="00AE726D"/>
    <w:rsid w:val="00AE7E85"/>
    <w:rsid w:val="00AF27D5"/>
    <w:rsid w:val="00B05C8C"/>
    <w:rsid w:val="00B061A5"/>
    <w:rsid w:val="00B062C2"/>
    <w:rsid w:val="00B10E02"/>
    <w:rsid w:val="00B1210F"/>
    <w:rsid w:val="00B1432D"/>
    <w:rsid w:val="00B170D6"/>
    <w:rsid w:val="00B21B56"/>
    <w:rsid w:val="00B267AA"/>
    <w:rsid w:val="00B34274"/>
    <w:rsid w:val="00B36086"/>
    <w:rsid w:val="00B3737E"/>
    <w:rsid w:val="00B40109"/>
    <w:rsid w:val="00B426DC"/>
    <w:rsid w:val="00B45A25"/>
    <w:rsid w:val="00B45C87"/>
    <w:rsid w:val="00B501A7"/>
    <w:rsid w:val="00B50621"/>
    <w:rsid w:val="00B51BC3"/>
    <w:rsid w:val="00B54E2E"/>
    <w:rsid w:val="00B63921"/>
    <w:rsid w:val="00B64DA2"/>
    <w:rsid w:val="00B66E1F"/>
    <w:rsid w:val="00B678CA"/>
    <w:rsid w:val="00B734FB"/>
    <w:rsid w:val="00B74D71"/>
    <w:rsid w:val="00B8037C"/>
    <w:rsid w:val="00B816F3"/>
    <w:rsid w:val="00B81C30"/>
    <w:rsid w:val="00B85F57"/>
    <w:rsid w:val="00B87B0D"/>
    <w:rsid w:val="00B94BB9"/>
    <w:rsid w:val="00BA115E"/>
    <w:rsid w:val="00BA15CA"/>
    <w:rsid w:val="00BA1890"/>
    <w:rsid w:val="00BA5D35"/>
    <w:rsid w:val="00BB1074"/>
    <w:rsid w:val="00BB5FAB"/>
    <w:rsid w:val="00BB669B"/>
    <w:rsid w:val="00BB7DAB"/>
    <w:rsid w:val="00BC2771"/>
    <w:rsid w:val="00BC56AB"/>
    <w:rsid w:val="00BD0E8E"/>
    <w:rsid w:val="00BD516C"/>
    <w:rsid w:val="00BD5E62"/>
    <w:rsid w:val="00BE6667"/>
    <w:rsid w:val="00BE7F6A"/>
    <w:rsid w:val="00BF03A8"/>
    <w:rsid w:val="00BF241C"/>
    <w:rsid w:val="00BF47E7"/>
    <w:rsid w:val="00BF4BB8"/>
    <w:rsid w:val="00BF5176"/>
    <w:rsid w:val="00BF52C2"/>
    <w:rsid w:val="00BF74F1"/>
    <w:rsid w:val="00C156DF"/>
    <w:rsid w:val="00C212E9"/>
    <w:rsid w:val="00C22CEE"/>
    <w:rsid w:val="00C25432"/>
    <w:rsid w:val="00C26A45"/>
    <w:rsid w:val="00C35357"/>
    <w:rsid w:val="00C42A61"/>
    <w:rsid w:val="00C5210E"/>
    <w:rsid w:val="00C61148"/>
    <w:rsid w:val="00C6375F"/>
    <w:rsid w:val="00C66F5F"/>
    <w:rsid w:val="00C71525"/>
    <w:rsid w:val="00C80902"/>
    <w:rsid w:val="00C80D29"/>
    <w:rsid w:val="00C84AB4"/>
    <w:rsid w:val="00C96408"/>
    <w:rsid w:val="00C971B5"/>
    <w:rsid w:val="00CB0A24"/>
    <w:rsid w:val="00CB20D4"/>
    <w:rsid w:val="00CB3F2A"/>
    <w:rsid w:val="00CB4D52"/>
    <w:rsid w:val="00CB5D95"/>
    <w:rsid w:val="00CB5E3B"/>
    <w:rsid w:val="00CC0317"/>
    <w:rsid w:val="00CC256E"/>
    <w:rsid w:val="00CC264E"/>
    <w:rsid w:val="00CC54DB"/>
    <w:rsid w:val="00CD2EE6"/>
    <w:rsid w:val="00CD3168"/>
    <w:rsid w:val="00CD6E79"/>
    <w:rsid w:val="00CD76E3"/>
    <w:rsid w:val="00CE6755"/>
    <w:rsid w:val="00CF045A"/>
    <w:rsid w:val="00CF5D34"/>
    <w:rsid w:val="00CF6C09"/>
    <w:rsid w:val="00D00BCF"/>
    <w:rsid w:val="00D03612"/>
    <w:rsid w:val="00D12130"/>
    <w:rsid w:val="00D17A40"/>
    <w:rsid w:val="00D20FD4"/>
    <w:rsid w:val="00D23B42"/>
    <w:rsid w:val="00D31012"/>
    <w:rsid w:val="00D310FD"/>
    <w:rsid w:val="00D37930"/>
    <w:rsid w:val="00D37D5B"/>
    <w:rsid w:val="00D421C3"/>
    <w:rsid w:val="00D44ED7"/>
    <w:rsid w:val="00D47683"/>
    <w:rsid w:val="00D53C6D"/>
    <w:rsid w:val="00D56B09"/>
    <w:rsid w:val="00D65D8B"/>
    <w:rsid w:val="00D67168"/>
    <w:rsid w:val="00D71606"/>
    <w:rsid w:val="00D747A5"/>
    <w:rsid w:val="00D75EE8"/>
    <w:rsid w:val="00D827D5"/>
    <w:rsid w:val="00D869F4"/>
    <w:rsid w:val="00D87199"/>
    <w:rsid w:val="00D87BA7"/>
    <w:rsid w:val="00D978E5"/>
    <w:rsid w:val="00DA2F15"/>
    <w:rsid w:val="00DA475A"/>
    <w:rsid w:val="00DA5A51"/>
    <w:rsid w:val="00DA70AA"/>
    <w:rsid w:val="00DB5A46"/>
    <w:rsid w:val="00DB712B"/>
    <w:rsid w:val="00DC3DC7"/>
    <w:rsid w:val="00DF0DD5"/>
    <w:rsid w:val="00DF3716"/>
    <w:rsid w:val="00DF75C5"/>
    <w:rsid w:val="00E04806"/>
    <w:rsid w:val="00E04B2F"/>
    <w:rsid w:val="00E123FA"/>
    <w:rsid w:val="00E13359"/>
    <w:rsid w:val="00E13F70"/>
    <w:rsid w:val="00E14BCF"/>
    <w:rsid w:val="00E20554"/>
    <w:rsid w:val="00E20AAC"/>
    <w:rsid w:val="00E21F53"/>
    <w:rsid w:val="00E23F18"/>
    <w:rsid w:val="00E362DC"/>
    <w:rsid w:val="00E377F3"/>
    <w:rsid w:val="00E4487A"/>
    <w:rsid w:val="00E45FE5"/>
    <w:rsid w:val="00E475FA"/>
    <w:rsid w:val="00E5428A"/>
    <w:rsid w:val="00E57389"/>
    <w:rsid w:val="00E61A81"/>
    <w:rsid w:val="00E636DE"/>
    <w:rsid w:val="00E67146"/>
    <w:rsid w:val="00E67164"/>
    <w:rsid w:val="00E71938"/>
    <w:rsid w:val="00E72438"/>
    <w:rsid w:val="00E755D1"/>
    <w:rsid w:val="00E8027C"/>
    <w:rsid w:val="00E86011"/>
    <w:rsid w:val="00E928A2"/>
    <w:rsid w:val="00E9720D"/>
    <w:rsid w:val="00EA14AD"/>
    <w:rsid w:val="00EA1E51"/>
    <w:rsid w:val="00EA33C8"/>
    <w:rsid w:val="00EA491B"/>
    <w:rsid w:val="00EB2EEB"/>
    <w:rsid w:val="00EB4C3F"/>
    <w:rsid w:val="00EB69A0"/>
    <w:rsid w:val="00EC3825"/>
    <w:rsid w:val="00EC410A"/>
    <w:rsid w:val="00EC51B9"/>
    <w:rsid w:val="00ED01BF"/>
    <w:rsid w:val="00ED13D5"/>
    <w:rsid w:val="00ED1E1F"/>
    <w:rsid w:val="00ED4B3A"/>
    <w:rsid w:val="00ED6615"/>
    <w:rsid w:val="00EE4E4F"/>
    <w:rsid w:val="00EE554C"/>
    <w:rsid w:val="00EE6A5F"/>
    <w:rsid w:val="00EF4C78"/>
    <w:rsid w:val="00EF6552"/>
    <w:rsid w:val="00F017A4"/>
    <w:rsid w:val="00F020D1"/>
    <w:rsid w:val="00F125B8"/>
    <w:rsid w:val="00F13D72"/>
    <w:rsid w:val="00F14AD5"/>
    <w:rsid w:val="00F14DB6"/>
    <w:rsid w:val="00F15655"/>
    <w:rsid w:val="00F169B4"/>
    <w:rsid w:val="00F32BA3"/>
    <w:rsid w:val="00F3372E"/>
    <w:rsid w:val="00F35720"/>
    <w:rsid w:val="00F402FD"/>
    <w:rsid w:val="00F41D37"/>
    <w:rsid w:val="00F4490A"/>
    <w:rsid w:val="00F52D13"/>
    <w:rsid w:val="00F5398D"/>
    <w:rsid w:val="00F54BE7"/>
    <w:rsid w:val="00F55A46"/>
    <w:rsid w:val="00F6101E"/>
    <w:rsid w:val="00F61C64"/>
    <w:rsid w:val="00F62C4B"/>
    <w:rsid w:val="00F65913"/>
    <w:rsid w:val="00F728F7"/>
    <w:rsid w:val="00F77101"/>
    <w:rsid w:val="00F80111"/>
    <w:rsid w:val="00F83343"/>
    <w:rsid w:val="00F833F0"/>
    <w:rsid w:val="00F84407"/>
    <w:rsid w:val="00F84DAB"/>
    <w:rsid w:val="00F851A5"/>
    <w:rsid w:val="00F86B03"/>
    <w:rsid w:val="00F90B6B"/>
    <w:rsid w:val="00F91A92"/>
    <w:rsid w:val="00F950E0"/>
    <w:rsid w:val="00FA0E2F"/>
    <w:rsid w:val="00FA5E6D"/>
    <w:rsid w:val="00FB0EF5"/>
    <w:rsid w:val="00FB3372"/>
    <w:rsid w:val="00FB3E3F"/>
    <w:rsid w:val="00FB6C52"/>
    <w:rsid w:val="00FC1A72"/>
    <w:rsid w:val="00FC2FEC"/>
    <w:rsid w:val="00FC34D1"/>
    <w:rsid w:val="00FD2511"/>
    <w:rsid w:val="00FD41B0"/>
    <w:rsid w:val="00FD429D"/>
    <w:rsid w:val="00FD6599"/>
    <w:rsid w:val="00FD7266"/>
    <w:rsid w:val="00FE374F"/>
    <w:rsid w:val="00FF4869"/>
    <w:rsid w:val="00FF6C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858AE"/>
  <w15:docId w15:val="{62D26B04-42C9-40A9-B9D3-ABCEBF5F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73994"/>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A7399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F426B"/>
    <w:rPr>
      <w:i/>
      <w:iCs/>
    </w:rPr>
  </w:style>
  <w:style w:type="character" w:styleId="Hyperlink">
    <w:name w:val="Hyperlink"/>
    <w:basedOn w:val="DefaultParagraphFont"/>
    <w:uiPriority w:val="99"/>
    <w:unhideWhenUsed/>
    <w:rsid w:val="006F426B"/>
    <w:rPr>
      <w:color w:val="0000FF"/>
      <w:u w:val="single"/>
    </w:rPr>
  </w:style>
  <w:style w:type="character" w:customStyle="1" w:styleId="vkekvd">
    <w:name w:val="vkekvd"/>
    <w:basedOn w:val="DefaultParagraphFont"/>
    <w:rsid w:val="006F426B"/>
  </w:style>
  <w:style w:type="character" w:styleId="Strong">
    <w:name w:val="Strong"/>
    <w:basedOn w:val="DefaultParagraphFont"/>
    <w:uiPriority w:val="22"/>
    <w:qFormat/>
    <w:rsid w:val="00404A0D"/>
    <w:rPr>
      <w:b/>
      <w:bCs/>
    </w:rPr>
  </w:style>
  <w:style w:type="character" w:customStyle="1" w:styleId="t286pc">
    <w:name w:val="t286pc"/>
    <w:basedOn w:val="DefaultParagraphFont"/>
    <w:rsid w:val="00570A05"/>
  </w:style>
  <w:style w:type="paragraph" w:styleId="Header">
    <w:name w:val="header"/>
    <w:basedOn w:val="Normal"/>
    <w:link w:val="HeaderChar"/>
    <w:uiPriority w:val="99"/>
    <w:unhideWhenUsed/>
    <w:rsid w:val="00E21F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F53"/>
  </w:style>
  <w:style w:type="paragraph" w:styleId="Footer">
    <w:name w:val="footer"/>
    <w:basedOn w:val="Normal"/>
    <w:link w:val="FooterChar"/>
    <w:uiPriority w:val="99"/>
    <w:unhideWhenUsed/>
    <w:rsid w:val="00E21F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F53"/>
  </w:style>
  <w:style w:type="table" w:customStyle="1" w:styleId="TableGridLight1">
    <w:name w:val="Table Grid Light1"/>
    <w:basedOn w:val="TableNormal"/>
    <w:uiPriority w:val="40"/>
    <w:rsid w:val="00B45A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B4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6646"/>
    <w:pPr>
      <w:ind w:left="720"/>
      <w:contextualSpacing/>
    </w:pPr>
  </w:style>
  <w:style w:type="paragraph" w:customStyle="1" w:styleId="c-bibliographic-informationcitation">
    <w:name w:val="c-bibliographic-information__citation"/>
    <w:basedOn w:val="Normal"/>
    <w:rsid w:val="00793A2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636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C70"/>
    <w:rPr>
      <w:rFonts w:ascii="Tahoma" w:hAnsi="Tahoma" w:cs="Tahoma"/>
      <w:sz w:val="16"/>
      <w:szCs w:val="16"/>
    </w:rPr>
  </w:style>
  <w:style w:type="table" w:customStyle="1" w:styleId="GridTable1Light1">
    <w:name w:val="Grid Table 1 Light1"/>
    <w:basedOn w:val="TableNormal"/>
    <w:uiPriority w:val="46"/>
    <w:rsid w:val="00964D4C"/>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gcmg">
    <w:name w:val="a_gcmg"/>
    <w:basedOn w:val="DefaultParagraphFont"/>
    <w:rsid w:val="003A6C0A"/>
  </w:style>
  <w:style w:type="paragraph" w:styleId="NormalWeb">
    <w:name w:val="Normal (Web)"/>
    <w:basedOn w:val="Normal"/>
    <w:uiPriority w:val="99"/>
    <w:unhideWhenUsed/>
    <w:rsid w:val="009D7F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hitespace-normal">
    <w:name w:val="whitespace-normal"/>
    <w:basedOn w:val="DefaultParagraphFont"/>
    <w:rsid w:val="00CD76E3"/>
  </w:style>
  <w:style w:type="character" w:customStyle="1" w:styleId="UnresolvedMention1">
    <w:name w:val="Unresolved Mention1"/>
    <w:basedOn w:val="DefaultParagraphFont"/>
    <w:uiPriority w:val="99"/>
    <w:semiHidden/>
    <w:unhideWhenUsed/>
    <w:rsid w:val="005954F7"/>
    <w:rPr>
      <w:color w:val="605E5C"/>
      <w:shd w:val="clear" w:color="auto" w:fill="E1DFDD"/>
    </w:rPr>
  </w:style>
  <w:style w:type="character" w:customStyle="1" w:styleId="Heading2Char">
    <w:name w:val="Heading 2 Char"/>
    <w:basedOn w:val="DefaultParagraphFont"/>
    <w:link w:val="Heading2"/>
    <w:uiPriority w:val="9"/>
    <w:rsid w:val="00A73994"/>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A73994"/>
    <w:rPr>
      <w:rFonts w:ascii="Times New Roman" w:eastAsia="Times New Roman" w:hAnsi="Times New Roman" w:cs="Times New Roman"/>
      <w:b/>
      <w:bCs/>
      <w:sz w:val="27"/>
      <w:szCs w:val="27"/>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0190">
      <w:bodyDiv w:val="1"/>
      <w:marLeft w:val="0"/>
      <w:marRight w:val="0"/>
      <w:marTop w:val="0"/>
      <w:marBottom w:val="0"/>
      <w:divBdr>
        <w:top w:val="none" w:sz="0" w:space="0" w:color="auto"/>
        <w:left w:val="none" w:sz="0" w:space="0" w:color="auto"/>
        <w:bottom w:val="none" w:sz="0" w:space="0" w:color="auto"/>
        <w:right w:val="none" w:sz="0" w:space="0" w:color="auto"/>
      </w:divBdr>
      <w:divsChild>
        <w:div w:id="1565217172">
          <w:marLeft w:val="0"/>
          <w:marRight w:val="0"/>
          <w:marTop w:val="0"/>
          <w:marBottom w:val="0"/>
          <w:divBdr>
            <w:top w:val="none" w:sz="0" w:space="0" w:color="auto"/>
            <w:left w:val="none" w:sz="0" w:space="0" w:color="auto"/>
            <w:bottom w:val="none" w:sz="0" w:space="0" w:color="auto"/>
            <w:right w:val="none" w:sz="0" w:space="0" w:color="auto"/>
          </w:divBdr>
        </w:div>
        <w:div w:id="920062386">
          <w:marLeft w:val="0"/>
          <w:marRight w:val="0"/>
          <w:marTop w:val="0"/>
          <w:marBottom w:val="0"/>
          <w:divBdr>
            <w:top w:val="none" w:sz="0" w:space="0" w:color="auto"/>
            <w:left w:val="none" w:sz="0" w:space="0" w:color="auto"/>
            <w:bottom w:val="none" w:sz="0" w:space="0" w:color="auto"/>
            <w:right w:val="none" w:sz="0" w:space="0" w:color="auto"/>
          </w:divBdr>
        </w:div>
      </w:divsChild>
    </w:div>
    <w:div w:id="938410735">
      <w:bodyDiv w:val="1"/>
      <w:marLeft w:val="0"/>
      <w:marRight w:val="0"/>
      <w:marTop w:val="0"/>
      <w:marBottom w:val="0"/>
      <w:divBdr>
        <w:top w:val="none" w:sz="0" w:space="0" w:color="auto"/>
        <w:left w:val="none" w:sz="0" w:space="0" w:color="auto"/>
        <w:bottom w:val="none" w:sz="0" w:space="0" w:color="auto"/>
        <w:right w:val="none" w:sz="0" w:space="0" w:color="auto"/>
      </w:divBdr>
    </w:div>
    <w:div w:id="951323756">
      <w:bodyDiv w:val="1"/>
      <w:marLeft w:val="0"/>
      <w:marRight w:val="0"/>
      <w:marTop w:val="0"/>
      <w:marBottom w:val="0"/>
      <w:divBdr>
        <w:top w:val="none" w:sz="0" w:space="0" w:color="auto"/>
        <w:left w:val="none" w:sz="0" w:space="0" w:color="auto"/>
        <w:bottom w:val="none" w:sz="0" w:space="0" w:color="auto"/>
        <w:right w:val="none" w:sz="0" w:space="0" w:color="auto"/>
      </w:divBdr>
    </w:div>
    <w:div w:id="1223561305">
      <w:bodyDiv w:val="1"/>
      <w:marLeft w:val="0"/>
      <w:marRight w:val="0"/>
      <w:marTop w:val="0"/>
      <w:marBottom w:val="0"/>
      <w:divBdr>
        <w:top w:val="none" w:sz="0" w:space="0" w:color="auto"/>
        <w:left w:val="none" w:sz="0" w:space="0" w:color="auto"/>
        <w:bottom w:val="none" w:sz="0" w:space="0" w:color="auto"/>
        <w:right w:val="none" w:sz="0" w:space="0" w:color="auto"/>
      </w:divBdr>
    </w:div>
    <w:div w:id="1317104532">
      <w:bodyDiv w:val="1"/>
      <w:marLeft w:val="0"/>
      <w:marRight w:val="0"/>
      <w:marTop w:val="0"/>
      <w:marBottom w:val="0"/>
      <w:divBdr>
        <w:top w:val="none" w:sz="0" w:space="0" w:color="auto"/>
        <w:left w:val="none" w:sz="0" w:space="0" w:color="auto"/>
        <w:bottom w:val="none" w:sz="0" w:space="0" w:color="auto"/>
        <w:right w:val="none" w:sz="0" w:space="0" w:color="auto"/>
      </w:divBdr>
    </w:div>
    <w:div w:id="1890262057">
      <w:bodyDiv w:val="1"/>
      <w:marLeft w:val="0"/>
      <w:marRight w:val="0"/>
      <w:marTop w:val="0"/>
      <w:marBottom w:val="0"/>
      <w:divBdr>
        <w:top w:val="none" w:sz="0" w:space="0" w:color="auto"/>
        <w:left w:val="none" w:sz="0" w:space="0" w:color="auto"/>
        <w:bottom w:val="none" w:sz="0" w:space="0" w:color="auto"/>
        <w:right w:val="none" w:sz="0" w:space="0" w:color="auto"/>
      </w:divBdr>
      <w:divsChild>
        <w:div w:id="155270440">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shilpa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ranasma725@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profsali5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6818</Words>
  <Characters>38869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Nakshatra Singh</cp:lastModifiedBy>
  <cp:revision>2</cp:revision>
  <cp:lastPrinted>2026-05-11T07:50:00Z</cp:lastPrinted>
  <dcterms:created xsi:type="dcterms:W3CDTF">2026-05-11T09:47:00Z</dcterms:created>
  <dcterms:modified xsi:type="dcterms:W3CDTF">2026-05-11T09:47:00Z</dcterms:modified>
</cp:coreProperties>
</file>