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9.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0.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124F5" w14:textId="5FAFAEAA" w:rsidR="002E3C98" w:rsidRDefault="002E3C98" w:rsidP="00E97634">
      <w:pPr>
        <w:spacing w:line="360" w:lineRule="auto"/>
        <w:jc w:val="both"/>
        <w:rPr>
          <w:rFonts w:ascii="Times New Roman" w:hAnsi="Times New Roman" w:cs="Times New Roman"/>
          <w:b/>
          <w:bCs/>
          <w:sz w:val="28"/>
          <w:szCs w:val="28"/>
        </w:rPr>
      </w:pPr>
      <w:r w:rsidRPr="002E3C98">
        <w:rPr>
          <w:rFonts w:ascii="Times New Roman" w:hAnsi="Times New Roman" w:cs="Times New Roman"/>
          <w:b/>
          <w:bCs/>
          <w:sz w:val="28"/>
          <w:szCs w:val="28"/>
        </w:rPr>
        <w:t>Ultrasound-Assisted</w:t>
      </w:r>
      <w:r>
        <w:rPr>
          <w:rFonts w:ascii="Times New Roman" w:hAnsi="Times New Roman" w:cs="Times New Roman"/>
          <w:b/>
          <w:bCs/>
          <w:sz w:val="28"/>
          <w:szCs w:val="28"/>
        </w:rPr>
        <w:t xml:space="preserve"> </w:t>
      </w:r>
      <w:r w:rsidRPr="002E3C98">
        <w:rPr>
          <w:rFonts w:ascii="Times New Roman" w:hAnsi="Times New Roman" w:cs="Times New Roman"/>
          <w:b/>
          <w:bCs/>
          <w:sz w:val="28"/>
          <w:szCs w:val="28"/>
        </w:rPr>
        <w:t xml:space="preserve">DLLME Coupled with TLC Imaging for Rapid </w:t>
      </w:r>
      <w:r>
        <w:rPr>
          <w:rFonts w:ascii="Times New Roman" w:hAnsi="Times New Roman" w:cs="Times New Roman"/>
          <w:b/>
          <w:bCs/>
          <w:sz w:val="28"/>
          <w:szCs w:val="28"/>
        </w:rPr>
        <w:t xml:space="preserve">Determination of </w:t>
      </w:r>
      <w:r w:rsidRPr="002E3C98">
        <w:rPr>
          <w:rFonts w:ascii="Times New Roman" w:hAnsi="Times New Roman" w:cs="Times New Roman"/>
          <w:b/>
          <w:bCs/>
          <w:sz w:val="28"/>
          <w:szCs w:val="28"/>
        </w:rPr>
        <w:t xml:space="preserve">Risperidone </w:t>
      </w:r>
      <w:r>
        <w:rPr>
          <w:rFonts w:ascii="Times New Roman" w:hAnsi="Times New Roman" w:cs="Times New Roman"/>
          <w:b/>
          <w:bCs/>
          <w:sz w:val="28"/>
          <w:szCs w:val="28"/>
        </w:rPr>
        <w:t>in Biological Samples</w:t>
      </w:r>
    </w:p>
    <w:p w14:paraId="352BC45F" w14:textId="19CCBED9" w:rsidR="00E97634" w:rsidRPr="00062C20" w:rsidRDefault="00E97634" w:rsidP="00E97634">
      <w:pPr>
        <w:spacing w:line="360" w:lineRule="auto"/>
        <w:jc w:val="both"/>
        <w:rPr>
          <w:rFonts w:ascii="Times New Roman" w:hAnsi="Times New Roman" w:cs="Times New Roman"/>
          <w:b/>
          <w:bCs/>
        </w:rPr>
      </w:pPr>
      <w:r w:rsidRPr="00062C20">
        <w:rPr>
          <w:rFonts w:ascii="Times New Roman" w:hAnsi="Times New Roman" w:cs="Times New Roman"/>
          <w:b/>
          <w:bCs/>
        </w:rPr>
        <w:t>Abstract:</w:t>
      </w:r>
    </w:p>
    <w:p w14:paraId="6B19385E" w14:textId="2840B276" w:rsidR="00E97634" w:rsidRPr="0066571D" w:rsidRDefault="00E97634" w:rsidP="00E97634">
      <w:pPr>
        <w:spacing w:line="360" w:lineRule="auto"/>
        <w:jc w:val="both"/>
        <w:rPr>
          <w:rFonts w:ascii="Times New Roman" w:eastAsia="Times New Roman" w:hAnsi="Times New Roman" w:cs="Times New Roman"/>
          <w:color w:val="000000"/>
          <w:lang w:eastAsia="en-IN"/>
        </w:rPr>
      </w:pPr>
      <w:r w:rsidRPr="0066571D">
        <w:rPr>
          <w:rFonts w:ascii="Times New Roman" w:hAnsi="Times New Roman" w:cs="Times New Roman"/>
        </w:rPr>
        <w:t xml:space="preserve">Risperidone (RSP) is an antipsychotic drug widely prescribed for patients suffering from depression or other psychotic episodes. However, its misuse or overdose has been implicated in accidental and suicidal fatalities, underscoring the need for sensitive and reliable analytical methodologies for its determination in biological samples. In the present study, the ultrasonic-assisted dispersive liquid–liquid microextraction (UA-DLLME) technique, coupled with thin-layer chromatography (TLC) and </w:t>
      </w:r>
      <w:r w:rsidR="0017311E" w:rsidRPr="0066571D">
        <w:rPr>
          <w:rFonts w:ascii="Times New Roman" w:hAnsi="Times New Roman" w:cs="Times New Roman"/>
        </w:rPr>
        <w:t xml:space="preserve">a </w:t>
      </w:r>
      <w:r w:rsidRPr="0066571D">
        <w:rPr>
          <w:rFonts w:ascii="Times New Roman" w:hAnsi="Times New Roman" w:cs="Times New Roman"/>
        </w:rPr>
        <w:t xml:space="preserve">smartphone-based digital image colorimetry analytical method, was developed, optimized, validated, and applied for the determination of RSP in blood, urine, and pharmaceutical samples. Among the tested conditions, trichloroethylene (100 </w:t>
      </w:r>
      <w:r w:rsidR="00107E8D" w:rsidRPr="0066571D">
        <w:rPr>
          <w:rFonts w:ascii="Times New Roman" w:hAnsi="Times New Roman" w:cs="Times New Roman"/>
        </w:rPr>
        <w:t xml:space="preserve">µL) and acetonitrile (800 µL) were found to be the most suitable extraction and dispersing solvents, respectively, at a pH of 10, with 1 minute of ultrasonication yielding the </w:t>
      </w:r>
      <w:r w:rsidRPr="0066571D">
        <w:rPr>
          <w:rFonts w:ascii="Times New Roman" w:hAnsi="Times New Roman" w:cs="Times New Roman"/>
        </w:rPr>
        <w:t xml:space="preserve">maximum extraction efficiency. </w:t>
      </w:r>
      <w:r w:rsidR="00107E8D" w:rsidRPr="0066571D">
        <w:rPr>
          <w:rFonts w:ascii="Times New Roman" w:hAnsi="Times New Roman" w:cs="Times New Roman"/>
        </w:rPr>
        <w:t xml:space="preserve">An ethyl </w:t>
      </w:r>
      <w:proofErr w:type="spellStart"/>
      <w:proofErr w:type="gramStart"/>
      <w:r w:rsidR="00107E8D" w:rsidRPr="0066571D">
        <w:rPr>
          <w:rFonts w:ascii="Times New Roman" w:hAnsi="Times New Roman" w:cs="Times New Roman"/>
        </w:rPr>
        <w:t>acetate:methanol</w:t>
      </w:r>
      <w:proofErr w:type="gramEnd"/>
      <w:r w:rsidR="00107E8D" w:rsidRPr="0066571D">
        <w:rPr>
          <w:rFonts w:ascii="Times New Roman" w:hAnsi="Times New Roman" w:cs="Times New Roman"/>
        </w:rPr>
        <w:t>:ammonia</w:t>
      </w:r>
      <w:proofErr w:type="spellEnd"/>
      <w:r w:rsidR="00107E8D" w:rsidRPr="0066571D">
        <w:rPr>
          <w:rFonts w:ascii="Times New Roman" w:hAnsi="Times New Roman" w:cs="Times New Roman"/>
        </w:rPr>
        <w:t xml:space="preserve"> solution (85:10:5 v/v/v) was used as the mobile phase </w:t>
      </w:r>
      <w:r w:rsidR="0017311E" w:rsidRPr="0066571D">
        <w:rPr>
          <w:rFonts w:ascii="Times New Roman" w:hAnsi="Times New Roman" w:cs="Times New Roman"/>
        </w:rPr>
        <w:t xml:space="preserve">to </w:t>
      </w:r>
      <w:r w:rsidRPr="0066571D">
        <w:rPr>
          <w:rFonts w:ascii="Times New Roman" w:hAnsi="Times New Roman" w:cs="Times New Roman"/>
        </w:rPr>
        <w:t>achieve TLC separation. Calibration curves exhibited linearity in the concentration range of 0.</w:t>
      </w:r>
      <w:r w:rsidR="00AF19BE" w:rsidRPr="0066571D">
        <w:rPr>
          <w:rFonts w:ascii="Times New Roman" w:hAnsi="Times New Roman" w:cs="Times New Roman"/>
        </w:rPr>
        <w:t>2</w:t>
      </w:r>
      <w:r w:rsidRPr="0066571D">
        <w:rPr>
          <w:rFonts w:ascii="Times New Roman" w:hAnsi="Times New Roman" w:cs="Times New Roman"/>
        </w:rPr>
        <w:t>5–10 mg/mL with limits of detection (LOD) of 0.</w:t>
      </w:r>
      <w:r w:rsidR="00587035" w:rsidRPr="0066571D">
        <w:rPr>
          <w:rFonts w:ascii="Times New Roman" w:hAnsi="Times New Roman" w:cs="Times New Roman"/>
        </w:rPr>
        <w:t>18</w:t>
      </w:r>
      <w:r w:rsidRPr="0066571D">
        <w:rPr>
          <w:rFonts w:ascii="Times New Roman" w:hAnsi="Times New Roman" w:cs="Times New Roman"/>
        </w:rPr>
        <w:t xml:space="preserve">, 0.22, and 0.03 mg/mL and limits of quantification (LOQ) of </w:t>
      </w:r>
      <w:r w:rsidR="00587035" w:rsidRPr="0066571D">
        <w:rPr>
          <w:rFonts w:ascii="Times New Roman" w:hAnsi="Times New Roman" w:cs="Times New Roman"/>
        </w:rPr>
        <w:t>1</w:t>
      </w:r>
      <w:r w:rsidRPr="0066571D">
        <w:rPr>
          <w:rFonts w:ascii="Times New Roman" w:hAnsi="Times New Roman" w:cs="Times New Roman"/>
        </w:rPr>
        <w:t>.</w:t>
      </w:r>
      <w:r w:rsidR="00587035" w:rsidRPr="0066571D">
        <w:rPr>
          <w:rFonts w:ascii="Times New Roman" w:hAnsi="Times New Roman" w:cs="Times New Roman"/>
        </w:rPr>
        <w:t>00</w:t>
      </w:r>
      <w:r w:rsidRPr="0066571D">
        <w:rPr>
          <w:rFonts w:ascii="Times New Roman" w:hAnsi="Times New Roman" w:cs="Times New Roman"/>
        </w:rPr>
        <w:t>, 0.08, and 0.46 mg/mL for blood, urine, and tablet samples, respectively. The accuracy</w:t>
      </w:r>
      <w:r w:rsidR="00587035" w:rsidRPr="0066571D">
        <w:rPr>
          <w:rFonts w:ascii="Times New Roman" w:hAnsi="Times New Roman" w:cs="Times New Roman"/>
        </w:rPr>
        <w:t xml:space="preserve"> and </w:t>
      </w:r>
      <w:r w:rsidRPr="0066571D">
        <w:rPr>
          <w:rFonts w:ascii="Times New Roman" w:hAnsi="Times New Roman" w:cs="Times New Roman"/>
        </w:rPr>
        <w:t xml:space="preserve">precision (intraday and </w:t>
      </w:r>
      <w:proofErr w:type="spellStart"/>
      <w:r w:rsidRPr="0066571D">
        <w:rPr>
          <w:rFonts w:ascii="Times New Roman" w:hAnsi="Times New Roman" w:cs="Times New Roman"/>
        </w:rPr>
        <w:t>interday</w:t>
      </w:r>
      <w:proofErr w:type="spellEnd"/>
      <w:r w:rsidRPr="0066571D">
        <w:rPr>
          <w:rFonts w:ascii="Times New Roman" w:hAnsi="Times New Roman" w:cs="Times New Roman"/>
        </w:rPr>
        <w:t>)</w:t>
      </w:r>
      <w:r w:rsidR="00587035" w:rsidRPr="0066571D">
        <w:rPr>
          <w:rFonts w:ascii="Times New Roman" w:hAnsi="Times New Roman" w:cs="Times New Roman"/>
        </w:rPr>
        <w:t xml:space="preserve"> </w:t>
      </w:r>
      <w:r w:rsidRPr="0066571D">
        <w:rPr>
          <w:rFonts w:ascii="Times New Roman" w:hAnsi="Times New Roman" w:cs="Times New Roman"/>
        </w:rPr>
        <w:t xml:space="preserve">were also calculated according to SWGTOX guidelines. The recovery for the method was </w:t>
      </w:r>
      <w:r w:rsidR="00587035" w:rsidRPr="0066571D">
        <w:rPr>
          <w:rFonts w:ascii="Times New Roman" w:hAnsi="Times New Roman" w:cs="Times New Roman"/>
        </w:rPr>
        <w:t>165</w:t>
      </w:r>
      <w:r w:rsidR="0017311E" w:rsidRPr="0066571D">
        <w:rPr>
          <w:rFonts w:ascii="Times New Roman" w:hAnsi="Times New Roman" w:cs="Times New Roman"/>
        </w:rPr>
        <w:t>.</w:t>
      </w:r>
      <w:r w:rsidR="00587035" w:rsidRPr="0066571D">
        <w:rPr>
          <w:rFonts w:ascii="Times New Roman" w:hAnsi="Times New Roman" w:cs="Times New Roman"/>
        </w:rPr>
        <w:t>0</w:t>
      </w:r>
      <w:r w:rsidR="0017311E" w:rsidRPr="0066571D">
        <w:rPr>
          <w:rFonts w:ascii="Times New Roman" w:hAnsi="Times New Roman" w:cs="Times New Roman"/>
        </w:rPr>
        <w:t>3%, 81.88%, and 98.34% for blood, urine, and pharmaceutical tablet samples, respectively</w:t>
      </w:r>
      <w:r w:rsidRPr="0066571D">
        <w:rPr>
          <w:rFonts w:ascii="Times New Roman" w:eastAsia="Times New Roman" w:hAnsi="Times New Roman" w:cs="Times New Roman"/>
          <w:color w:val="000000"/>
          <w:lang w:eastAsia="en-IN"/>
        </w:rPr>
        <w:t xml:space="preserve">. In the next step, greenness of the method was identified using </w:t>
      </w:r>
      <w:r w:rsidR="00572CFD" w:rsidRPr="0066571D">
        <w:rPr>
          <w:rFonts w:ascii="Times New Roman" w:eastAsia="Times New Roman" w:hAnsi="Times New Roman" w:cs="Times New Roman"/>
          <w:color w:val="000000"/>
          <w:lang w:eastAsia="en-IN"/>
        </w:rPr>
        <w:t xml:space="preserve">the </w:t>
      </w:r>
      <w:r w:rsidR="00587035" w:rsidRPr="0066571D">
        <w:rPr>
          <w:rFonts w:ascii="Times New Roman" w:eastAsia="Times New Roman" w:hAnsi="Times New Roman" w:cs="Times New Roman"/>
          <w:color w:val="000000"/>
          <w:lang w:eastAsia="en-IN"/>
        </w:rPr>
        <w:t xml:space="preserve">complex </w:t>
      </w:r>
      <w:r w:rsidRPr="0066571D">
        <w:rPr>
          <w:rFonts w:ascii="Times New Roman" w:hAnsi="Times New Roman" w:cs="Times New Roman"/>
        </w:rPr>
        <w:t xml:space="preserve">Green Analytical Procedure Index (GAPI) </w:t>
      </w:r>
      <w:r w:rsidR="00572CFD" w:rsidRPr="0066571D">
        <w:rPr>
          <w:rFonts w:ascii="Times New Roman" w:hAnsi="Times New Roman" w:cs="Times New Roman"/>
        </w:rPr>
        <w:t xml:space="preserve">and the </w:t>
      </w:r>
      <w:r w:rsidRPr="0066571D">
        <w:rPr>
          <w:rFonts w:ascii="Times New Roman" w:hAnsi="Times New Roman" w:cs="Times New Roman"/>
        </w:rPr>
        <w:t>Analytical Greenness (AGREE) calculator</w:t>
      </w:r>
      <w:r w:rsidR="00572CFD" w:rsidRPr="0066571D">
        <w:rPr>
          <w:rFonts w:ascii="Times New Roman" w:hAnsi="Times New Roman" w:cs="Times New Roman"/>
        </w:rPr>
        <w:t>s</w:t>
      </w:r>
      <w:r w:rsidRPr="0066571D">
        <w:rPr>
          <w:rFonts w:ascii="Times New Roman" w:hAnsi="Times New Roman" w:cs="Times New Roman"/>
        </w:rPr>
        <w:t>,</w:t>
      </w:r>
      <w:r w:rsidR="00587035" w:rsidRPr="0066571D">
        <w:rPr>
          <w:rFonts w:ascii="Times New Roman" w:hAnsi="Times New Roman" w:cs="Times New Roman"/>
        </w:rPr>
        <w:t xml:space="preserve"> and Environmental, Performance, and Practicality Index (EPPI), </w:t>
      </w:r>
      <w:r w:rsidRPr="0066571D">
        <w:rPr>
          <w:rFonts w:ascii="Times New Roman" w:hAnsi="Times New Roman" w:cs="Times New Roman"/>
        </w:rPr>
        <w:t xml:space="preserve">confirming its environmental sustainability. </w:t>
      </w:r>
      <w:r w:rsidR="00587035" w:rsidRPr="0066571D">
        <w:rPr>
          <w:rFonts w:ascii="Times New Roman" w:hAnsi="Times New Roman" w:cs="Times New Roman"/>
        </w:rPr>
        <w:t>D</w:t>
      </w:r>
      <w:r w:rsidRPr="0066571D">
        <w:rPr>
          <w:rFonts w:ascii="Times New Roman" w:hAnsi="Times New Roman" w:cs="Times New Roman"/>
        </w:rPr>
        <w:t>eveloped</w:t>
      </w:r>
      <w:r w:rsidR="00587035" w:rsidRPr="0066571D">
        <w:rPr>
          <w:rFonts w:ascii="Times New Roman" w:hAnsi="Times New Roman" w:cs="Times New Roman"/>
        </w:rPr>
        <w:t xml:space="preserve"> an</w:t>
      </w:r>
      <w:r w:rsidR="0017311E" w:rsidRPr="0066571D">
        <w:rPr>
          <w:rFonts w:ascii="Times New Roman" w:hAnsi="Times New Roman" w:cs="Times New Roman"/>
        </w:rPr>
        <w:t xml:space="preserve"> analytical method for UA-DLLME–TLC–smartphone colorimetry </w:t>
      </w:r>
      <w:r w:rsidR="00587035" w:rsidRPr="0066571D">
        <w:rPr>
          <w:rFonts w:ascii="Times New Roman" w:hAnsi="Times New Roman" w:cs="Times New Roman"/>
        </w:rPr>
        <w:t>provides</w:t>
      </w:r>
      <w:r w:rsidR="0017311E" w:rsidRPr="0066571D">
        <w:rPr>
          <w:rFonts w:ascii="Times New Roman" w:hAnsi="Times New Roman" w:cs="Times New Roman"/>
        </w:rPr>
        <w:t xml:space="preserve"> a rapid, cost-effective, environmentally sustainable strategy for the determination of risperidone in biological samples,</w:t>
      </w:r>
      <w:r w:rsidRPr="0066571D">
        <w:rPr>
          <w:rFonts w:ascii="Times New Roman" w:hAnsi="Times New Roman" w:cs="Times New Roman"/>
        </w:rPr>
        <w:t xml:space="preserve"> with substantial applicability in forensic toxicology for the identification and quantification in suspected overdose or poisoning cases.</w:t>
      </w:r>
    </w:p>
    <w:p w14:paraId="0F908253" w14:textId="1F2179A6" w:rsidR="008E2057" w:rsidRPr="00587035" w:rsidRDefault="00E97634" w:rsidP="00587035">
      <w:pPr>
        <w:spacing w:line="360" w:lineRule="auto"/>
        <w:jc w:val="both"/>
        <w:rPr>
          <w:rFonts w:ascii="Times New Roman" w:hAnsi="Times New Roman" w:cs="Times New Roman"/>
          <w:i/>
          <w:iCs/>
        </w:rPr>
      </w:pPr>
      <w:r w:rsidRPr="00062C20">
        <w:rPr>
          <w:rFonts w:ascii="Times New Roman" w:hAnsi="Times New Roman" w:cs="Times New Roman"/>
          <w:b/>
          <w:bCs/>
        </w:rPr>
        <w:t>Keywords:</w:t>
      </w:r>
      <w:r w:rsidRPr="00062C20">
        <w:rPr>
          <w:rFonts w:ascii="Times New Roman" w:hAnsi="Times New Roman" w:cs="Times New Roman"/>
        </w:rPr>
        <w:t xml:space="preserve"> </w:t>
      </w:r>
      <w:r w:rsidR="00587035" w:rsidRPr="0066571D">
        <w:rPr>
          <w:rFonts w:ascii="Times New Roman" w:hAnsi="Times New Roman" w:cs="Times New Roman"/>
          <w:color w:val="1B1B1B"/>
          <w:shd w:val="clear" w:color="auto" w:fill="FFFFFF"/>
        </w:rPr>
        <w:t>Dispersive Liquid-Liquid Microextraction, Thin-layer chromatography image analysis, Green analytical chemistry, complex GAPI, AGREE, EPPI</w:t>
      </w:r>
      <w:r w:rsidR="00587035" w:rsidRPr="0066571D">
        <w:rPr>
          <w:rFonts w:ascii="Times New Roman" w:hAnsi="Times New Roman" w:cs="Times New Roman"/>
        </w:rPr>
        <w:t>, microextraction.</w:t>
      </w:r>
      <w:r w:rsidRPr="00062C20">
        <w:rPr>
          <w:rFonts w:ascii="Times New Roman" w:hAnsi="Times New Roman" w:cs="Times New Roman"/>
          <w:i/>
          <w:iCs/>
          <w:color w:val="1B1B1B"/>
          <w:shd w:val="clear" w:color="auto" w:fill="FFFFFF"/>
        </w:rPr>
        <w:t xml:space="preserve"> </w:t>
      </w:r>
    </w:p>
    <w:p w14:paraId="4E23A2ED" w14:textId="77777777" w:rsidR="00E97634" w:rsidRPr="00062C20" w:rsidRDefault="00E97634" w:rsidP="00E97634">
      <w:pPr>
        <w:spacing w:after="0" w:line="360" w:lineRule="auto"/>
        <w:jc w:val="both"/>
        <w:rPr>
          <w:rFonts w:ascii="Times New Roman" w:hAnsi="Times New Roman" w:cs="Times New Roman"/>
          <w:b/>
          <w:sz w:val="24"/>
          <w:szCs w:val="24"/>
        </w:rPr>
      </w:pPr>
    </w:p>
    <w:p w14:paraId="2F10D047" w14:textId="77777777" w:rsidR="00E97634" w:rsidRPr="00062C20" w:rsidRDefault="00E97634" w:rsidP="00E97634">
      <w:pPr>
        <w:spacing w:after="0" w:line="360" w:lineRule="auto"/>
        <w:jc w:val="both"/>
        <w:rPr>
          <w:rFonts w:ascii="Times New Roman" w:hAnsi="Times New Roman" w:cs="Times New Roman"/>
          <w:b/>
          <w:sz w:val="24"/>
          <w:szCs w:val="24"/>
        </w:rPr>
      </w:pPr>
    </w:p>
    <w:p w14:paraId="44F16E6E" w14:textId="77777777" w:rsidR="0075335D" w:rsidRPr="00062C20" w:rsidRDefault="0075335D" w:rsidP="00E97634">
      <w:pPr>
        <w:spacing w:after="0" w:line="360" w:lineRule="auto"/>
        <w:jc w:val="both"/>
        <w:rPr>
          <w:rFonts w:ascii="Times New Roman" w:hAnsi="Times New Roman" w:cs="Times New Roman"/>
          <w:b/>
          <w:sz w:val="24"/>
          <w:szCs w:val="24"/>
        </w:rPr>
      </w:pPr>
    </w:p>
    <w:p w14:paraId="3FBB5A37" w14:textId="77777777" w:rsidR="0075335D" w:rsidRPr="00062C20" w:rsidRDefault="0075335D" w:rsidP="00E97634">
      <w:pPr>
        <w:spacing w:after="0" w:line="360" w:lineRule="auto"/>
        <w:jc w:val="both"/>
        <w:rPr>
          <w:rFonts w:ascii="Times New Roman" w:hAnsi="Times New Roman" w:cs="Times New Roman"/>
          <w:b/>
          <w:sz w:val="24"/>
          <w:szCs w:val="24"/>
        </w:rPr>
      </w:pPr>
    </w:p>
    <w:p w14:paraId="7000E73F" w14:textId="77777777" w:rsidR="00E97634" w:rsidRDefault="00E97634" w:rsidP="00E97634">
      <w:pPr>
        <w:spacing w:after="0" w:line="360" w:lineRule="auto"/>
        <w:jc w:val="both"/>
        <w:rPr>
          <w:rFonts w:ascii="Times New Roman" w:hAnsi="Times New Roman" w:cs="Times New Roman"/>
          <w:b/>
          <w:sz w:val="24"/>
          <w:szCs w:val="24"/>
        </w:rPr>
      </w:pPr>
    </w:p>
    <w:p w14:paraId="7CE0D410" w14:textId="77777777" w:rsidR="00587035" w:rsidRPr="00062C20" w:rsidRDefault="00587035" w:rsidP="00E97634">
      <w:pPr>
        <w:spacing w:after="0" w:line="360" w:lineRule="auto"/>
        <w:jc w:val="both"/>
        <w:rPr>
          <w:rFonts w:ascii="Times New Roman" w:hAnsi="Times New Roman" w:cs="Times New Roman"/>
          <w:b/>
          <w:sz w:val="24"/>
          <w:szCs w:val="24"/>
        </w:rPr>
      </w:pPr>
    </w:p>
    <w:p w14:paraId="569FA17E" w14:textId="77777777" w:rsidR="001455D4" w:rsidRPr="00245D4E" w:rsidRDefault="008E2057" w:rsidP="00E97634">
      <w:pPr>
        <w:pStyle w:val="ListParagraph"/>
        <w:numPr>
          <w:ilvl w:val="0"/>
          <w:numId w:val="3"/>
        </w:numPr>
        <w:spacing w:after="0" w:line="360" w:lineRule="auto"/>
        <w:ind w:left="284" w:hanging="284"/>
        <w:jc w:val="both"/>
        <w:rPr>
          <w:rFonts w:ascii="Times New Roman" w:hAnsi="Times New Roman" w:cs="Times New Roman"/>
          <w:b/>
          <w:iCs/>
          <w:sz w:val="24"/>
          <w:szCs w:val="24"/>
        </w:rPr>
      </w:pPr>
      <w:r w:rsidRPr="00062C20">
        <w:rPr>
          <w:rFonts w:ascii="Times New Roman" w:hAnsi="Times New Roman" w:cs="Times New Roman"/>
          <w:b/>
          <w:sz w:val="24"/>
          <w:szCs w:val="24"/>
        </w:rPr>
        <w:t>Introduction</w:t>
      </w:r>
    </w:p>
    <w:p w14:paraId="7F135AEA" w14:textId="6A268FED" w:rsidR="00245D4E" w:rsidRDefault="00245D4E" w:rsidP="00B60D37">
      <w:pPr>
        <w:pStyle w:val="ListParagraph"/>
        <w:spacing w:after="0" w:line="360" w:lineRule="auto"/>
        <w:ind w:left="284"/>
        <w:jc w:val="both"/>
        <w:rPr>
          <w:rFonts w:ascii="Times New Roman" w:hAnsi="Times New Roman" w:cs="Times New Roman"/>
          <w:bCs/>
          <w:iCs/>
          <w:sz w:val="24"/>
          <w:szCs w:val="24"/>
        </w:rPr>
      </w:pPr>
      <w:r>
        <w:rPr>
          <w:rFonts w:ascii="Times New Roman" w:hAnsi="Times New Roman" w:cs="Times New Roman"/>
          <w:bCs/>
          <w:iCs/>
          <w:sz w:val="24"/>
          <w:szCs w:val="24"/>
        </w:rPr>
        <w:t>Risperidone (RSP) is an anti-psychotic</w:t>
      </w:r>
      <w:r w:rsidR="0017311E">
        <w:rPr>
          <w:rFonts w:ascii="Times New Roman" w:hAnsi="Times New Roman" w:cs="Times New Roman"/>
          <w:bCs/>
          <w:iCs/>
          <w:sz w:val="24"/>
          <w:szCs w:val="24"/>
        </w:rPr>
        <w:t xml:space="preserve"> </w:t>
      </w:r>
      <w:r>
        <w:rPr>
          <w:rFonts w:ascii="Times New Roman" w:hAnsi="Times New Roman" w:cs="Times New Roman"/>
          <w:bCs/>
          <w:iCs/>
          <w:sz w:val="24"/>
          <w:szCs w:val="24"/>
        </w:rPr>
        <w:t>drug</w:t>
      </w:r>
      <w:r w:rsidR="00516938">
        <w:rPr>
          <w:rFonts w:ascii="Times New Roman" w:hAnsi="Times New Roman" w:cs="Times New Roman"/>
          <w:bCs/>
          <w:iCs/>
          <w:sz w:val="24"/>
          <w:szCs w:val="24"/>
        </w:rPr>
        <w:t xml:space="preserve"> </w:t>
      </w:r>
      <w:r w:rsidR="00516938" w:rsidRPr="00516938">
        <w:rPr>
          <w:rFonts w:ascii="Times New Roman" w:hAnsi="Times New Roman" w:cs="Times New Roman"/>
          <w:bCs/>
          <w:iCs/>
          <w:sz w:val="24"/>
          <w:szCs w:val="24"/>
        </w:rPr>
        <w:fldChar w:fldCharType="begin"/>
      </w:r>
      <w:r w:rsidR="001F5D81">
        <w:rPr>
          <w:rFonts w:ascii="Times New Roman" w:hAnsi="Times New Roman" w:cs="Times New Roman"/>
          <w:bCs/>
          <w:iCs/>
          <w:sz w:val="24"/>
          <w:szCs w:val="24"/>
        </w:rPr>
        <w:instrText xml:space="preserve"> ADDIN ZOTERO_ITEM CSL_CITATION {"citationID":"iV32mYZb","properties":{"formattedCitation":"(Belova et al., 2020; Elman, 2002)","plainCitation":"(Belova et al., 2020; Elman, 2002)","noteIndex":0},"citationItems":[{"id":339,"uris":["http://zotero.org/users/local/Ys1kvdNt/items/H483E2E7"],"itemData":{"id":339,"type":"article-journal","abstract":"Relevance\n              The large number of atypical antipsychotic drugs on the market , the breadth of their medical and non-medical use, and their relative affordability make atypical antipsychotics common causes of overdose, suicidal actions or non-medical use of drugs. At the same time, they remain insufficiently studied from the chemical and toxicological point of veiw.\n            \n            \n              Aim od study\n              : creation of available express method of detection of clozapine, olanzapine, quetiapine and risperidone in the urine of patients with acute poisoning.\n            \n            \n              Material and methods\n              Thin layer chromatography (TLC), gas chromatography with mass selective detection (GC-MS), and high performance liquid chromatography with mass selective detection (HPLC-MS/MS) were used. The preparation of intact urine samples with addition of standard solutions of clozapine, olanzapine, quetiapine, risperidone and urine samples of patients with symptoms of acute poisoning with given drugs was carried out by methods of liquid-liquid extraction at alkaline pH values for TLC chloroform, a mixture of ethyl acetate-diethyl ether (1:1) for GC-MS and acetonitrile for HPLC-MS/MS.\n            \n            \n              Results\n              A TLC method has been developed to detect clozapine, olanzapine, quetiapine and risperidone, which allows its the presence to be quickly revealed in the patient’s urine at the preliminary examination stage and also distinguish them from each other in case of the same type of symptoms of poisoning. For confirmatory analysis, it is advisable to use the methods of HPLC-MS/MS and GC-MS. Compared to confirmatory methods, the developed TLC-screening technique is expressive, does not require the use of expensive high-tech equipment and allows clozapine, olanzapine, quetiapine and risperidone to be differentiated from other toxicologically significant psychoactive substances found in general screening.","container-title":"Russian Sklifosovsky Journal \"Emergency Medical Care\"","DOI":"10.23934/2223-9022-2020-9-2-188-194","ISSN":"2541-8017, 2223-9022","issue":"2","journalAbbreviation":"Neotložnaâ med. pomoŝʹ","license":"https://www.jnmp.ru/jour/about/editorialPolicies#openAccessPolicy","page":"188-194","source":"DOI.org (Crossref)","title":"Chemical and Toxicological Diagnosis of Acute Poisoning with Clozapine, Olanzapine, Quetiapine and Risperidone","volume":"9","author":[{"family":"Belova","given":"M. V."},{"family":"Klyuyev","given":"E. A."},{"family":"Melnikov","given":"E. S."},{"family":"Poryadina","given":"M. N."}],"issued":{"date-parts":[["2020",10,22]]}}},{"id":357,"uris":["http://zotero.org/users/local/Ys1kvdNt/items/ZPWBHF6Y"],"itemData":{"id":357,"type":"article-journal","container-title":"Neuropsychopharmacology","DOI":"10.1016/S0893-133X(02)00314-7","ISSN":"0893133X","issue":"2","page":"293-300","source":"DOI.org (Crossref)","title":"Effects of Risperidone on the Peripheral Noradrenegic System in Patients with Schizophrenia A Comparison with Clozapine and Placebo","volume":"27","author":[{"family":"Elman","given":"I"}],"issued":{"date-parts":[["2002",8]]}}}],"schema":"https://github.com/citation-style-language/schema/raw/master/csl-citation.json"} </w:instrText>
      </w:r>
      <w:r w:rsidR="00516938" w:rsidRPr="00516938">
        <w:rPr>
          <w:rFonts w:ascii="Times New Roman" w:hAnsi="Times New Roman" w:cs="Times New Roman"/>
          <w:bCs/>
          <w:iCs/>
          <w:sz w:val="24"/>
          <w:szCs w:val="24"/>
        </w:rPr>
        <w:fldChar w:fldCharType="separate"/>
      </w:r>
      <w:r w:rsidR="001F5D81" w:rsidRPr="001F5D81">
        <w:rPr>
          <w:rFonts w:ascii="Times New Roman" w:hAnsi="Times New Roman" w:cs="Times New Roman"/>
          <w:sz w:val="24"/>
        </w:rPr>
        <w:t>(Belova et al., 2020; Elman, 2002)</w:t>
      </w:r>
      <w:r w:rsidR="00516938" w:rsidRPr="00516938">
        <w:rPr>
          <w:rFonts w:ascii="Times New Roman" w:hAnsi="Times New Roman" w:cs="Times New Roman"/>
          <w:bCs/>
          <w:iCs/>
          <w:sz w:val="24"/>
          <w:szCs w:val="24"/>
        </w:rPr>
        <w:fldChar w:fldCharType="end"/>
      </w:r>
      <w:r w:rsidR="007B238B">
        <w:rPr>
          <w:rFonts w:ascii="Times New Roman" w:hAnsi="Times New Roman" w:cs="Times New Roman"/>
          <w:bCs/>
          <w:iCs/>
          <w:sz w:val="24"/>
          <w:szCs w:val="24"/>
        </w:rPr>
        <w:t xml:space="preserve"> </w:t>
      </w:r>
      <w:r w:rsidRPr="00516938">
        <w:rPr>
          <w:rFonts w:ascii="Times New Roman" w:hAnsi="Times New Roman" w:cs="Times New Roman"/>
          <w:bCs/>
          <w:iCs/>
          <w:sz w:val="24"/>
          <w:szCs w:val="24"/>
        </w:rPr>
        <w:t>primarily used to treat people suffering from psychotic</w:t>
      </w:r>
      <w:r w:rsidR="0098500B" w:rsidRPr="00516938">
        <w:rPr>
          <w:rFonts w:ascii="Times New Roman" w:hAnsi="Times New Roman" w:cs="Times New Roman"/>
          <w:bCs/>
          <w:iCs/>
          <w:sz w:val="24"/>
          <w:szCs w:val="24"/>
        </w:rPr>
        <w:t xml:space="preserve"> </w:t>
      </w:r>
      <w:r w:rsidRPr="00516938">
        <w:rPr>
          <w:rFonts w:ascii="Times New Roman" w:hAnsi="Times New Roman" w:cs="Times New Roman"/>
          <w:bCs/>
          <w:iCs/>
          <w:sz w:val="24"/>
          <w:szCs w:val="24"/>
        </w:rPr>
        <w:t>episodes due to schizophrenia, bipolar disorder</w:t>
      </w:r>
      <w:r w:rsidR="00EB3AA1" w:rsidRPr="00516938">
        <w:rPr>
          <w:rFonts w:ascii="Times New Roman" w:hAnsi="Times New Roman" w:cs="Times New Roman"/>
          <w:bCs/>
          <w:iCs/>
          <w:sz w:val="24"/>
          <w:szCs w:val="24"/>
        </w:rPr>
        <w:t>,</w:t>
      </w:r>
      <w:r w:rsidRPr="00516938">
        <w:rPr>
          <w:rFonts w:ascii="Times New Roman" w:hAnsi="Times New Roman" w:cs="Times New Roman"/>
          <w:bCs/>
          <w:iCs/>
          <w:sz w:val="24"/>
          <w:szCs w:val="24"/>
        </w:rPr>
        <w:t xml:space="preserve"> and depression</w:t>
      </w:r>
      <w:r w:rsidR="00516938">
        <w:rPr>
          <w:rFonts w:ascii="Times New Roman" w:hAnsi="Times New Roman" w:cs="Times New Roman"/>
          <w:bCs/>
          <w:iCs/>
          <w:sz w:val="24"/>
          <w:szCs w:val="24"/>
        </w:rPr>
        <w:t xml:space="preserve"> </w:t>
      </w:r>
      <w:r w:rsidR="00516938">
        <w:rPr>
          <w:rFonts w:ascii="Times New Roman" w:hAnsi="Times New Roman" w:cs="Times New Roman"/>
          <w:bCs/>
          <w:iCs/>
          <w:sz w:val="24"/>
          <w:szCs w:val="24"/>
        </w:rPr>
        <w:fldChar w:fldCharType="begin"/>
      </w:r>
      <w:r w:rsidR="00F07274">
        <w:rPr>
          <w:rFonts w:ascii="Times New Roman" w:hAnsi="Times New Roman" w:cs="Times New Roman"/>
          <w:bCs/>
          <w:iCs/>
          <w:sz w:val="24"/>
          <w:szCs w:val="24"/>
        </w:rPr>
        <w:instrText xml:space="preserve"> ADDIN ZOTERO_ITEM CSL_CITATION {"citationID":"cels78WI","properties":{"formattedCitation":"(Dedania et al., 2011; Yousefsani et al., 2022)","plainCitation":"(Dedania et al., 2011; Yousefsani et al., 2022)","noteIndex":0},"citationItems":[{"id":342,"uris":["http://zotero.org/users/local/Ys1kvdNt/items/28BH2TPR"],"itemData":{"id":342,"type":"article-journal","abstract":"The objective of the current study was to develop a validated stability-indicating assay method (SIAM) for risperidone after subjecting it to forced decomposition under hydrolysis, oxidation, photolysis, and thermal stress conditions. The liquid chromatographic separation was achieved isocratically on a symmetry C18 column (5 \n              μ\n              m size, 250 mm × 4.6 mm i.d.) using a mobile phase containing methanol: acetonitrile (80 : 20, v/v) at a flow rate of 1 mL/min and UV detection at 280 nm. Retention time of risperidone was found to be . The method was linear over the concentration range of 10–60 \n              μ\n              g/mL with a limit of detection and quantitation of 1.79 and 5.44 \n              μ\n              g/mL, respectively. The method has the requisite accuracy, specificity, sensitivity, and precision to assay risperidone in bulk form and pharmaceutical dosage forms. Degradation products resulting from the stress studies did not interfere with the detection of Risperidone, and the assay is thus stability indicating.","container-title":"International Journal of Analytical Chemistry","DOI":"10.1155/2011/124917","ISSN":"1687-8760, 1687-8779","journalAbbreviation":"International Journal of Analytical Chemistry","language":"en","license":"http://creativecommons.org/licenses/by/3.0/","page":"1-6","source":"DOI.org (Crossref)","title":"Stability Indicating HPLC Determination of Risperidone in Bulk Drug and Pharmaceutical Formulations","volume":"2011","author":[{"family":"Dedania","given":"Zarna R."},{"family":"Dedania","given":"Ronak R."},{"family":"Sheth","given":"Navin R."},{"family":"Patel","given":"Jigar B."},{"family":"Patel","given":"Bhavna"}],"issued":{"date-parts":[["2011"]]}}},{"id":336,"uris":["http://zotero.org/users/local/Ys1kvdNt/items/956KH8KB"],"itemData":{"id":336,"type":"article-journal","abstract":"Abstract\n            Risperidone is an atypical antipsychotic drug used for the pharmacotherapy of\n                    psychiatric disorders. Some reports indicate that risperidone is toxic to\n                    various systems of the body, including the immune system. This study evaluated\n                    the toxicity effect of risperidone on human blood lymphocytes. To achieve this\n                    aim, lymphocytes were isolated using Ficoll paque plus. The results showed that\n                    risperidone (12, 24 and 48 nM) causes toxicity in human blood\n                    lymphocytes by increasing the level of intracellular reactive oxygen species\n                    (ROS), damage to lysosomal membrane, the collapse of the mitochondrial membrane\n                    potential (MMP), and increased extracellular oxidized glutathione (GSSG). Also,\n                    exposure of human blood lymphocytes to risperidone is associated with a decrease\n                    in intracellular glutathione (GSH) levels. Finally, it could be concluded that\n                    oxidative stress is one of the mechanisms of risperidone-induced toxicity in\n                    human blood lymphocytes.","container-title":"Drug Research","DOI":"10.1055/a-1830-8701","ISSN":"2194-9379, 2194-9387","issue":"06","journalAbbreviation":"Drug Res (Stuttg)","language":"en","page":"343-349","source":"DOI.org (Crossref)","title":"Risperidone Toxicity on Human Blood Lymphocytes in Nano molar Concentrations","volume":"72","author":[{"family":"Yousefsani","given":"Bahareh Sadat"},{"family":"Salimi","given":"Ahmad"},{"family":"Imani","given":"Farnaz"},{"family":"Ramezani","given":"Maral"},{"family":"Shirani","given":"Kobra"},{"family":"Seydi","given":"Enayatollah"},{"family":"Pourahmad","given":"Jalal"}],"issued":{"date-parts":[["2022",7]]}}}],"schema":"https://github.com/citation-style-language/schema/raw/master/csl-citation.json"} </w:instrText>
      </w:r>
      <w:r w:rsidR="00516938">
        <w:rPr>
          <w:rFonts w:ascii="Times New Roman" w:hAnsi="Times New Roman" w:cs="Times New Roman"/>
          <w:bCs/>
          <w:iCs/>
          <w:sz w:val="24"/>
          <w:szCs w:val="24"/>
        </w:rPr>
        <w:fldChar w:fldCharType="separate"/>
      </w:r>
      <w:r w:rsidR="00F07274" w:rsidRPr="00F07274">
        <w:rPr>
          <w:rFonts w:ascii="Times New Roman" w:hAnsi="Times New Roman" w:cs="Times New Roman"/>
          <w:sz w:val="24"/>
        </w:rPr>
        <w:t>(Dedania et al., 2011; Yousefsani et al., 2022)</w:t>
      </w:r>
      <w:r w:rsidR="00516938">
        <w:rPr>
          <w:rFonts w:ascii="Times New Roman" w:hAnsi="Times New Roman" w:cs="Times New Roman"/>
          <w:bCs/>
          <w:iCs/>
          <w:sz w:val="24"/>
          <w:szCs w:val="24"/>
        </w:rPr>
        <w:fldChar w:fldCharType="end"/>
      </w:r>
      <w:r w:rsidRPr="00B60D37">
        <w:rPr>
          <w:rFonts w:ascii="Times New Roman" w:hAnsi="Times New Roman" w:cs="Times New Roman"/>
          <w:bCs/>
          <w:iCs/>
          <w:sz w:val="24"/>
          <w:szCs w:val="24"/>
        </w:rPr>
        <w:t>. It works by helping restore the balance of dopamine and serotonin in our brain, thus reducing symptoms like delusion</w:t>
      </w:r>
      <w:r w:rsidR="00EB3AA1" w:rsidRPr="00B60D37">
        <w:rPr>
          <w:rFonts w:ascii="Times New Roman" w:hAnsi="Times New Roman" w:cs="Times New Roman"/>
          <w:bCs/>
          <w:iCs/>
          <w:sz w:val="24"/>
          <w:szCs w:val="24"/>
        </w:rPr>
        <w:t>s</w:t>
      </w:r>
      <w:r w:rsidRPr="00B60D37">
        <w:rPr>
          <w:rFonts w:ascii="Times New Roman" w:hAnsi="Times New Roman" w:cs="Times New Roman"/>
          <w:bCs/>
          <w:iCs/>
          <w:sz w:val="24"/>
          <w:szCs w:val="24"/>
        </w:rPr>
        <w:t xml:space="preserve">, </w:t>
      </w:r>
      <w:r w:rsidR="00EB3AA1" w:rsidRPr="00B60D37">
        <w:rPr>
          <w:rFonts w:ascii="Times New Roman" w:hAnsi="Times New Roman" w:cs="Times New Roman"/>
          <w:bCs/>
          <w:iCs/>
          <w:sz w:val="24"/>
          <w:szCs w:val="24"/>
        </w:rPr>
        <w:t>hallucinations</w:t>
      </w:r>
      <w:r w:rsidRPr="00B60D37">
        <w:rPr>
          <w:rFonts w:ascii="Times New Roman" w:hAnsi="Times New Roman" w:cs="Times New Roman"/>
          <w:bCs/>
          <w:iCs/>
          <w:sz w:val="24"/>
          <w:szCs w:val="24"/>
        </w:rPr>
        <w:t xml:space="preserve">, mood swings, and aggressive </w:t>
      </w:r>
      <w:proofErr w:type="spellStart"/>
      <w:r w:rsidRPr="00B60D37">
        <w:rPr>
          <w:rFonts w:ascii="Times New Roman" w:hAnsi="Times New Roman" w:cs="Times New Roman"/>
          <w:bCs/>
          <w:iCs/>
          <w:sz w:val="24"/>
          <w:szCs w:val="24"/>
        </w:rPr>
        <w:t>behaviour</w:t>
      </w:r>
      <w:proofErr w:type="spellEnd"/>
      <w:r w:rsidR="001F5D81">
        <w:rPr>
          <w:rFonts w:ascii="Times New Roman" w:hAnsi="Times New Roman" w:cs="Times New Roman"/>
          <w:bCs/>
          <w:iCs/>
          <w:sz w:val="24"/>
          <w:szCs w:val="24"/>
        </w:rPr>
        <w:t xml:space="preserve"> </w:t>
      </w:r>
      <w:r w:rsidR="00FC75E0">
        <w:rPr>
          <w:rFonts w:ascii="Times New Roman" w:hAnsi="Times New Roman" w:cs="Times New Roman"/>
          <w:bCs/>
          <w:iCs/>
          <w:sz w:val="24"/>
          <w:szCs w:val="24"/>
        </w:rPr>
        <w:fldChar w:fldCharType="begin"/>
      </w:r>
      <w:r w:rsidR="00FC75E0">
        <w:rPr>
          <w:rFonts w:ascii="Times New Roman" w:hAnsi="Times New Roman" w:cs="Times New Roman"/>
          <w:bCs/>
          <w:iCs/>
          <w:sz w:val="24"/>
          <w:szCs w:val="24"/>
        </w:rPr>
        <w:instrText xml:space="preserve"> ADDIN ZOTERO_ITEM CSL_CITATION {"citationID":"denjjbHD","properties":{"formattedCitation":"(Dedania et al., 2011)","plainCitation":"(Dedania et al., 2011)","noteIndex":0},"citationItems":[{"id":342,"uris":["http://zotero.org/users/local/Ys1kvdNt/items/28BH2TPR"],"itemData":{"id":342,"type":"article-journal","abstract":"The objective of the current study was to develop a validated stability-indicating assay method (SIAM) for risperidone after subjecting it to forced decomposition under hydrolysis, oxidation, photolysis, and thermal stress conditions. The liquid chromatographic separation was achieved isocratically on a symmetry C18 column (5 \n              μ\n              m size, 250 mm × 4.6 mm i.d.) using a mobile phase containing methanol: acetonitrile (80 : 20, v/v) at a flow rate of 1 mL/min and UV detection at 280 nm. Retention time of risperidone was found to be . The method was linear over the concentration range of 10–60 \n              μ\n              g/mL with a limit of detection and quantitation of 1.79 and 5.44 \n              μ\n              g/mL, respectively. The method has the requisite accuracy, specificity, sensitivity, and precision to assay risperidone in bulk form and pharmaceutical dosage forms. Degradation products resulting from the stress studies did not interfere with the detection of Risperidone, and the assay is thus stability indicating.","container-title":"International Journal of Analytical Chemistry","DOI":"10.1155/2011/124917","ISSN":"1687-8760, 1687-8779","journalAbbreviation":"International Journal of Analytical Chemistry","language":"en","license":"http://creativecommons.org/licenses/by/3.0/","page":"1-6","source":"DOI.org (Crossref)","title":"Stability Indicating HPLC Determination of Risperidone in Bulk Drug and Pharmaceutical Formulations","volume":"2011","author":[{"family":"Dedania","given":"Zarna R."},{"family":"Dedania","given":"Ronak R."},{"family":"Sheth","given":"Navin R."},{"family":"Patel","given":"Jigar B."},{"family":"Patel","given":"Bhavna"}],"issued":{"date-parts":[["2011"]]}}}],"schema":"https://github.com/citation-style-language/schema/raw/master/csl-citation.json"} </w:instrText>
      </w:r>
      <w:r w:rsidR="00FC75E0">
        <w:rPr>
          <w:rFonts w:ascii="Times New Roman" w:hAnsi="Times New Roman" w:cs="Times New Roman"/>
          <w:bCs/>
          <w:iCs/>
          <w:sz w:val="24"/>
          <w:szCs w:val="24"/>
        </w:rPr>
        <w:fldChar w:fldCharType="separate"/>
      </w:r>
      <w:r w:rsidR="00FC75E0" w:rsidRPr="00FC75E0">
        <w:rPr>
          <w:rFonts w:ascii="Times New Roman" w:hAnsi="Times New Roman" w:cs="Times New Roman"/>
          <w:sz w:val="24"/>
        </w:rPr>
        <w:t>(</w:t>
      </w:r>
      <w:proofErr w:type="spellStart"/>
      <w:r w:rsidR="00FC75E0" w:rsidRPr="00FC75E0">
        <w:rPr>
          <w:rFonts w:ascii="Times New Roman" w:hAnsi="Times New Roman" w:cs="Times New Roman"/>
          <w:sz w:val="24"/>
        </w:rPr>
        <w:t>Dedania</w:t>
      </w:r>
      <w:proofErr w:type="spellEnd"/>
      <w:r w:rsidR="00FC75E0" w:rsidRPr="00FC75E0">
        <w:rPr>
          <w:rFonts w:ascii="Times New Roman" w:hAnsi="Times New Roman" w:cs="Times New Roman"/>
          <w:sz w:val="24"/>
        </w:rPr>
        <w:t xml:space="preserve"> et al., 2011)</w:t>
      </w:r>
      <w:r w:rsidR="00FC75E0">
        <w:rPr>
          <w:rFonts w:ascii="Times New Roman" w:hAnsi="Times New Roman" w:cs="Times New Roman"/>
          <w:bCs/>
          <w:iCs/>
          <w:sz w:val="24"/>
          <w:szCs w:val="24"/>
        </w:rPr>
        <w:fldChar w:fldCharType="end"/>
      </w:r>
      <w:r w:rsidRPr="00B60D37">
        <w:rPr>
          <w:rFonts w:ascii="Times New Roman" w:hAnsi="Times New Roman" w:cs="Times New Roman"/>
          <w:bCs/>
          <w:iCs/>
          <w:sz w:val="24"/>
          <w:szCs w:val="24"/>
        </w:rPr>
        <w:t>. Generally, risperidone is a prescription drug available in tablets, liquid, and injectable form</w:t>
      </w:r>
      <w:r w:rsidR="00F07274" w:rsidRPr="00B60D37">
        <w:rPr>
          <w:rFonts w:ascii="Times New Roman" w:hAnsi="Times New Roman" w:cs="Times New Roman"/>
          <w:bCs/>
          <w:iCs/>
          <w:sz w:val="24"/>
          <w:szCs w:val="24"/>
        </w:rPr>
        <w:t xml:space="preserve"> </w:t>
      </w:r>
      <w:r w:rsidR="00F07274" w:rsidRPr="00B60D37">
        <w:rPr>
          <w:rFonts w:ascii="Times New Roman" w:hAnsi="Times New Roman" w:cs="Times New Roman"/>
          <w:bCs/>
          <w:iCs/>
          <w:sz w:val="24"/>
          <w:szCs w:val="24"/>
        </w:rPr>
        <w:fldChar w:fldCharType="begin"/>
      </w:r>
      <w:r w:rsidR="00F07274" w:rsidRPr="00B60D37">
        <w:rPr>
          <w:rFonts w:ascii="Times New Roman" w:hAnsi="Times New Roman" w:cs="Times New Roman"/>
          <w:bCs/>
          <w:iCs/>
          <w:sz w:val="24"/>
          <w:szCs w:val="24"/>
        </w:rPr>
        <w:instrText xml:space="preserve"> ADDIN ZOTERO_ITEM CSL_CITATION {"citationID":"6H8y4JNN","properties":{"formattedCitation":"(Patel et al., 2010)","plainCitation":"(Patel et al., 2010)","noteIndex":0},"citationItems":[{"id":341,"uris":["http://zotero.org/users/local/Ys1kvdNt/items/J2HXS2AT"],"itemData":{"id":341,"type":"article-journal","container-title":"Acta Chromatographica","DOI":"10.1556/AChrom.22.2010.4.5","ISSN":"1233-2356, 2083-5736","issue":"4","journalAbbreviation":"Acta Chromatographica","language":"en","page":"549-567","source":"DOI.org (Crossref)","title":"HPTLc method development and validation for analysis of risperidone in formulations, and in-vitro release study","volume":"22","author":[{"family":"Patel","given":"R. B."},{"family":"Patel","given":"B. G."},{"family":"Patel","given":"M. R."},{"family":"Bhatt","given":"K. K."}],"issued":{"date-parts":[["2010",12]]}}}],"schema":"https://github.com/citation-style-language/schema/raw/master/csl-citation.json"} </w:instrText>
      </w:r>
      <w:r w:rsidR="00F07274" w:rsidRPr="00B60D37">
        <w:rPr>
          <w:rFonts w:ascii="Times New Roman" w:hAnsi="Times New Roman" w:cs="Times New Roman"/>
          <w:bCs/>
          <w:iCs/>
          <w:sz w:val="24"/>
          <w:szCs w:val="24"/>
        </w:rPr>
        <w:fldChar w:fldCharType="separate"/>
      </w:r>
      <w:r w:rsidR="00F07274" w:rsidRPr="00B60D37">
        <w:rPr>
          <w:rFonts w:ascii="Times New Roman" w:hAnsi="Times New Roman" w:cs="Times New Roman"/>
          <w:sz w:val="24"/>
        </w:rPr>
        <w:t>(Patel et al., 2010)</w:t>
      </w:r>
      <w:r w:rsidR="00F07274" w:rsidRPr="00B60D37">
        <w:rPr>
          <w:rFonts w:ascii="Times New Roman" w:hAnsi="Times New Roman" w:cs="Times New Roman"/>
          <w:bCs/>
          <w:iCs/>
          <w:sz w:val="24"/>
          <w:szCs w:val="24"/>
        </w:rPr>
        <w:fldChar w:fldCharType="end"/>
      </w:r>
      <w:r w:rsidRPr="00B60D37">
        <w:rPr>
          <w:rFonts w:ascii="Times New Roman" w:hAnsi="Times New Roman" w:cs="Times New Roman"/>
          <w:bCs/>
          <w:iCs/>
          <w:sz w:val="24"/>
          <w:szCs w:val="24"/>
        </w:rPr>
        <w:t>. RSP works by blocking the dopamine D</w:t>
      </w:r>
      <w:r w:rsidR="00EB3AA1" w:rsidRPr="00B60D37">
        <w:rPr>
          <w:rFonts w:ascii="Times New Roman" w:hAnsi="Times New Roman" w:cs="Times New Roman"/>
          <w:bCs/>
          <w:iCs/>
          <w:sz w:val="24"/>
          <w:szCs w:val="24"/>
        </w:rPr>
        <w:t>2</w:t>
      </w:r>
      <w:r w:rsidRPr="00B60D37">
        <w:rPr>
          <w:rFonts w:ascii="Times New Roman" w:hAnsi="Times New Roman" w:cs="Times New Roman"/>
          <w:bCs/>
          <w:iCs/>
          <w:sz w:val="24"/>
          <w:szCs w:val="24"/>
        </w:rPr>
        <w:t xml:space="preserve"> receptor and serotonin </w:t>
      </w:r>
      <w:r w:rsidR="00EB3AA1" w:rsidRPr="00B60D37">
        <w:rPr>
          <w:rFonts w:ascii="Times New Roman" w:hAnsi="Times New Roman" w:cs="Times New Roman"/>
          <w:bCs/>
          <w:iCs/>
          <w:sz w:val="24"/>
          <w:szCs w:val="24"/>
        </w:rPr>
        <w:t>5-HT2A receptor</w:t>
      </w:r>
      <w:r w:rsidR="0017311E" w:rsidRPr="00B60D37">
        <w:rPr>
          <w:rFonts w:ascii="Times New Roman" w:hAnsi="Times New Roman" w:cs="Times New Roman"/>
          <w:bCs/>
          <w:iCs/>
          <w:sz w:val="24"/>
          <w:szCs w:val="24"/>
        </w:rPr>
        <w:t xml:space="preserve"> </w:t>
      </w:r>
      <w:r w:rsidR="00EB3AA1" w:rsidRPr="00B60D37">
        <w:rPr>
          <w:rFonts w:ascii="Times New Roman" w:hAnsi="Times New Roman" w:cs="Times New Roman"/>
          <w:bCs/>
          <w:iCs/>
          <w:sz w:val="24"/>
          <w:szCs w:val="24"/>
        </w:rPr>
        <w:t>in the brain</w:t>
      </w:r>
      <w:r w:rsidR="00F07274" w:rsidRPr="00B60D37">
        <w:rPr>
          <w:rFonts w:ascii="Times New Roman" w:hAnsi="Times New Roman" w:cs="Times New Roman"/>
          <w:bCs/>
          <w:iCs/>
          <w:sz w:val="24"/>
          <w:szCs w:val="24"/>
        </w:rPr>
        <w:t xml:space="preserve"> </w:t>
      </w:r>
      <w:r w:rsidR="00F07274" w:rsidRPr="00B60D37">
        <w:rPr>
          <w:rFonts w:ascii="Times New Roman" w:hAnsi="Times New Roman" w:cs="Times New Roman"/>
          <w:bCs/>
          <w:iCs/>
          <w:sz w:val="24"/>
          <w:szCs w:val="24"/>
        </w:rPr>
        <w:fldChar w:fldCharType="begin"/>
      </w:r>
      <w:r w:rsidR="007B238B">
        <w:rPr>
          <w:rFonts w:ascii="Times New Roman" w:hAnsi="Times New Roman" w:cs="Times New Roman"/>
          <w:bCs/>
          <w:iCs/>
          <w:sz w:val="24"/>
          <w:szCs w:val="24"/>
        </w:rPr>
        <w:instrText xml:space="preserve"> ADDIN ZOTERO_ITEM CSL_CITATION {"citationID":"K1YR0j1D","properties":{"formattedCitation":"(Belova et al., 2020; Dedania et al., 2011; Patel et al., 2010)","plainCitation":"(Belova et al., 2020; Dedania et al., 2011; Patel et al., 2010)","noteIndex":0},"citationItems":[{"id":339,"uris":["http://zotero.org/users/local/Ys1kvdNt/items/H483E2E7"],"itemData":{"id":339,"type":"article-journal","abstract":"Relevance\n              The large number of atypical antipsychotic drugs on the market , the breadth of their medical and non-medical use, and their relative affordability make atypical antipsychotics common causes of overdose, suicidal actions or non-medical use of drugs. At the same time, they remain insufficiently studied from the chemical and toxicological point of veiw.\n            \n            \n              Aim od study\n              : creation of available express method of detection of clozapine, olanzapine, quetiapine and risperidone in the urine of patients with acute poisoning.\n            \n            \n              Material and methods\n              Thin layer chromatography (TLC), gas chromatography with mass selective detection (GC-MS), and high performance liquid chromatography with mass selective detection (HPLC-MS/MS) were used. The preparation of intact urine samples with addition of standard solutions of clozapine, olanzapine, quetiapine, risperidone and urine samples of patients with symptoms of acute poisoning with given drugs was carried out by methods of liquid-liquid extraction at alkaline pH values for TLC chloroform, a mixture of ethyl acetate-diethyl ether (1:1) for GC-MS and acetonitrile for HPLC-MS/MS.\n            \n            \n              Results\n              A TLC method has been developed to detect clozapine, olanzapine, quetiapine and risperidone, which allows its the presence to be quickly revealed in the patient’s urine at the preliminary examination stage and also distinguish them from each other in case of the same type of symptoms of poisoning. For confirmatory analysis, it is advisable to use the methods of HPLC-MS/MS and GC-MS. Compared to confirmatory methods, the developed TLC-screening technique is expressive, does not require the use of expensive high-tech equipment and allows clozapine, olanzapine, quetiapine and risperidone to be differentiated from other toxicologically significant psychoactive substances found in general screening.","container-title":"Russian Sklifosovsky Journal \"Emergency Medical Care\"","DOI":"10.23934/2223-9022-2020-9-2-188-194","ISSN":"2541-8017, 2223-9022","issue":"2","journalAbbreviation":"Neotložnaâ med. pomoŝʹ","license":"https://www.jnmp.ru/jour/about/editorialPolicies#openAccessPolicy","page":"188-194","source":"DOI.org (Crossref)","title":"Chemical and Toxicological Diagnosis of Acute Poisoning with Clozapine, Olanzapine, Quetiapine and Risperidone","volume":"9","author":[{"family":"Belova","given":"M. V."},{"family":"Klyuyev","given":"E. A."},{"family":"Melnikov","given":"E. S."},{"family":"Poryadina","given":"M. N."}],"issued":{"date-parts":[["2020",10,22]]}}},{"id":342,"uris":["http://zotero.org/users/local/Ys1kvdNt/items/28BH2TPR"],"itemData":{"id":342,"type":"article-journal","abstract":"The objective of the current study was to develop a validated stability-indicating assay method (SIAM) for risperidone after subjecting it to forced decomposition under hydrolysis, oxidation, photolysis, and thermal stress conditions. The liquid chromatographic separation was achieved isocratically on a symmetry C18 column (5 \n              μ\n              m size, 250 mm × 4.6 mm i.d.) using a mobile phase containing methanol: acetonitrile (80 : 20, v/v) at a flow rate of 1 mL/min and UV detection at 280 nm. Retention time of risperidone was found to be . The method was linear over the concentration range of 10–60 \n              μ\n              g/mL with a limit of detection and quantitation of 1.79 and 5.44 \n              μ\n              g/mL, respectively. The method has the requisite accuracy, specificity, sensitivity, and precision to assay risperidone in bulk form and pharmaceutical dosage forms. Degradation products resulting from the stress studies did not interfere with the detection of Risperidone, and the assay is thus stability indicating.","container-title":"International Journal of Analytical Chemistry","DOI":"10.1155/2011/124917","ISSN":"1687-8760, 1687-8779","journalAbbreviation":"International Journal of Analytical Chemistry","language":"en","license":"http://creativecommons.org/licenses/by/3.0/","page":"1-6","source":"DOI.org (Crossref)","title":"Stability Indicating HPLC Determination of Risperidone in Bulk Drug and Pharmaceutical Formulations","volume":"2011","author":[{"family":"Dedania","given":"Zarna R."},{"family":"Dedania","given":"Ronak R."},{"family":"Sheth","given":"Navin R."},{"family":"Patel","given":"Jigar B."},{"family":"Patel","given":"Bhavna"}],"issued":{"date-parts":[["2011"]]}}},{"id":341,"uris":["http://zotero.org/users/local/Ys1kvdNt/items/J2HXS2AT"],"itemData":{"id":341,"type":"article-journal","container-title":"Acta Chromatographica","DOI":"10.1556/AChrom.22.2010.4.5","ISSN":"1233-2356, 2083-5736","issue":"4","journalAbbreviation":"Acta Chromatographica","language":"en","page":"549-567","source":"DOI.org (Crossref)","title":"HPTLc method development and validation for analysis of risperidone in formulations, and in-vitro release study","volume":"22","author":[{"family":"Patel","given":"R. B."},{"family":"Patel","given":"B. G."},{"family":"Patel","given":"M. R."},{"family":"Bhatt","given":"K. K."}],"issued":{"date-parts":[["2010",12]]}},"label":"page"}],"schema":"https://github.com/citation-style-language/schema/raw/master/csl-citation.json"} </w:instrText>
      </w:r>
      <w:r w:rsidR="00F07274" w:rsidRPr="00B60D37">
        <w:rPr>
          <w:rFonts w:ascii="Times New Roman" w:hAnsi="Times New Roman" w:cs="Times New Roman"/>
          <w:bCs/>
          <w:iCs/>
          <w:sz w:val="24"/>
          <w:szCs w:val="24"/>
        </w:rPr>
        <w:fldChar w:fldCharType="separate"/>
      </w:r>
      <w:r w:rsidR="007B238B" w:rsidRPr="007B238B">
        <w:rPr>
          <w:rFonts w:ascii="Times New Roman" w:hAnsi="Times New Roman" w:cs="Times New Roman"/>
          <w:sz w:val="24"/>
        </w:rPr>
        <w:t>(Belova et al., 2020; Dedania et al., 2011; Patel et al., 2010)</w:t>
      </w:r>
      <w:r w:rsidR="00F07274" w:rsidRPr="00B60D37">
        <w:rPr>
          <w:rFonts w:ascii="Times New Roman" w:hAnsi="Times New Roman" w:cs="Times New Roman"/>
          <w:bCs/>
          <w:iCs/>
          <w:sz w:val="24"/>
          <w:szCs w:val="24"/>
        </w:rPr>
        <w:fldChar w:fldCharType="end"/>
      </w:r>
      <w:r w:rsidR="00EB3AA1" w:rsidRPr="00B60D37">
        <w:rPr>
          <w:rFonts w:ascii="Times New Roman" w:hAnsi="Times New Roman" w:cs="Times New Roman"/>
          <w:bCs/>
          <w:iCs/>
          <w:sz w:val="24"/>
          <w:szCs w:val="24"/>
        </w:rPr>
        <w:t>.</w:t>
      </w:r>
      <w:r w:rsidR="003B2913" w:rsidRPr="00B60D37">
        <w:rPr>
          <w:rFonts w:ascii="Times New Roman" w:hAnsi="Times New Roman" w:cs="Times New Roman"/>
          <w:bCs/>
          <w:iCs/>
          <w:sz w:val="24"/>
          <w:szCs w:val="24"/>
        </w:rPr>
        <w:t xml:space="preserve"> I</w:t>
      </w:r>
      <w:r w:rsidR="00EB3AA1" w:rsidRPr="00B60D37">
        <w:rPr>
          <w:rFonts w:ascii="Times New Roman" w:hAnsi="Times New Roman" w:cs="Times New Roman"/>
          <w:bCs/>
          <w:iCs/>
          <w:sz w:val="24"/>
          <w:szCs w:val="24"/>
        </w:rPr>
        <w:t>nhibiting the dopamine receptor</w:t>
      </w:r>
      <w:r w:rsidR="0017311E" w:rsidRPr="00B60D37">
        <w:rPr>
          <w:rFonts w:ascii="Times New Roman" w:hAnsi="Times New Roman" w:cs="Times New Roman"/>
          <w:bCs/>
          <w:iCs/>
          <w:sz w:val="24"/>
          <w:szCs w:val="24"/>
        </w:rPr>
        <w:t xml:space="preserve"> RSP </w:t>
      </w:r>
      <w:r w:rsidR="00EB3AA1" w:rsidRPr="00B60D37">
        <w:rPr>
          <w:rFonts w:ascii="Times New Roman" w:hAnsi="Times New Roman" w:cs="Times New Roman"/>
          <w:bCs/>
          <w:iCs/>
          <w:sz w:val="24"/>
          <w:szCs w:val="24"/>
        </w:rPr>
        <w:t>reduces the psychotic symptoms</w:t>
      </w:r>
      <w:r w:rsidR="00FC75E0">
        <w:rPr>
          <w:rFonts w:ascii="Times New Roman" w:hAnsi="Times New Roman" w:cs="Times New Roman"/>
          <w:bCs/>
          <w:iCs/>
          <w:sz w:val="24"/>
          <w:szCs w:val="24"/>
        </w:rPr>
        <w:t>, such as</w:t>
      </w:r>
      <w:r w:rsidR="00EB3AA1" w:rsidRPr="00B60D37">
        <w:rPr>
          <w:rFonts w:ascii="Times New Roman" w:hAnsi="Times New Roman" w:cs="Times New Roman"/>
          <w:bCs/>
          <w:iCs/>
          <w:sz w:val="24"/>
          <w:szCs w:val="24"/>
        </w:rPr>
        <w:t xml:space="preserve"> </w:t>
      </w:r>
      <w:r w:rsidR="00587035">
        <w:rPr>
          <w:rFonts w:ascii="Times New Roman" w:hAnsi="Times New Roman" w:cs="Times New Roman"/>
          <w:bCs/>
          <w:iCs/>
          <w:sz w:val="24"/>
          <w:szCs w:val="24"/>
        </w:rPr>
        <w:t>hallucinations</w:t>
      </w:r>
      <w:r w:rsidR="00EB3AA1" w:rsidRPr="00B60D37">
        <w:rPr>
          <w:rFonts w:ascii="Times New Roman" w:hAnsi="Times New Roman" w:cs="Times New Roman"/>
          <w:bCs/>
          <w:iCs/>
          <w:sz w:val="24"/>
          <w:szCs w:val="24"/>
        </w:rPr>
        <w:t xml:space="preserve"> and </w:t>
      </w:r>
      <w:r w:rsidR="00587035">
        <w:rPr>
          <w:rFonts w:ascii="Times New Roman" w:hAnsi="Times New Roman" w:cs="Times New Roman"/>
          <w:bCs/>
          <w:iCs/>
          <w:sz w:val="24"/>
          <w:szCs w:val="24"/>
        </w:rPr>
        <w:t>delusions</w:t>
      </w:r>
      <w:r w:rsidR="00FC75E0">
        <w:rPr>
          <w:rFonts w:ascii="Times New Roman" w:hAnsi="Times New Roman" w:cs="Times New Roman"/>
          <w:bCs/>
          <w:iCs/>
          <w:sz w:val="24"/>
          <w:szCs w:val="24"/>
        </w:rPr>
        <w:t xml:space="preserve"> </w:t>
      </w:r>
      <w:r w:rsidR="00FC75E0">
        <w:rPr>
          <w:rFonts w:ascii="Times New Roman" w:hAnsi="Times New Roman" w:cs="Times New Roman"/>
          <w:bCs/>
          <w:iCs/>
          <w:sz w:val="24"/>
          <w:szCs w:val="24"/>
        </w:rPr>
        <w:fldChar w:fldCharType="begin"/>
      </w:r>
      <w:r w:rsidR="001F5D81">
        <w:rPr>
          <w:rFonts w:ascii="Times New Roman" w:hAnsi="Times New Roman" w:cs="Times New Roman"/>
          <w:bCs/>
          <w:iCs/>
          <w:sz w:val="24"/>
          <w:szCs w:val="24"/>
        </w:rPr>
        <w:instrText xml:space="preserve"> ADDIN ZOTERO_ITEM CSL_CITATION {"citationID":"tecv3ArU","properties":{"formattedCitation":"(Dedania et al., 2011; Elman, 2002)","plainCitation":"(Dedania et al., 2011; Elman, 2002)","noteIndex":0},"citationItems":[{"id":342,"uris":["http://zotero.org/users/local/Ys1kvdNt/items/28BH2TPR"],"itemData":{"id":342,"type":"article-journal","abstract":"The objective of the current study was to develop a validated stability-indicating assay method (SIAM) for risperidone after subjecting it to forced decomposition under hydrolysis, oxidation, photolysis, and thermal stress conditions. The liquid chromatographic separation was achieved isocratically on a symmetry C18 column (5 \n              μ\n              m size, 250 mm × 4.6 mm i.d.) using a mobile phase containing methanol: acetonitrile (80 : 20, v/v) at a flow rate of 1 mL/min and UV detection at 280 nm. Retention time of risperidone was found to be . The method was linear over the concentration range of 10–60 \n              μ\n              g/mL with a limit of detection and quantitation of 1.79 and 5.44 \n              μ\n              g/mL, respectively. The method has the requisite accuracy, specificity, sensitivity, and precision to assay risperidone in bulk form and pharmaceutical dosage forms. Degradation products resulting from the stress studies did not interfere with the detection of Risperidone, and the assay is thus stability indicating.","container-title":"International Journal of Analytical Chemistry","DOI":"10.1155/2011/124917","ISSN":"1687-8760, 1687-8779","journalAbbreviation":"International Journal of Analytical Chemistry","language":"en","license":"http://creativecommons.org/licenses/by/3.0/","page":"1-6","source":"DOI.org (Crossref)","title":"Stability Indicating HPLC Determination of Risperidone in Bulk Drug and Pharmaceutical Formulations","volume":"2011","author":[{"family":"Dedania","given":"Zarna R."},{"family":"Dedania","given":"Ronak R."},{"family":"Sheth","given":"Navin R."},{"family":"Patel","given":"Jigar B."},{"family":"Patel","given":"Bhavna"}],"issued":{"date-parts":[["2011"]]}}},{"id":357,"uris":["http://zotero.org/users/local/Ys1kvdNt/items/ZPWBHF6Y"],"itemData":{"id":357,"type":"article-journal","container-title":"Neuropsychopharmacology","DOI":"10.1016/S0893-133X(02)00314-7","ISSN":"0893133X","issue":"2","page":"293-300","source":"DOI.org (Crossref)","title":"Effects of Risperidone on the Peripheral Noradrenegic System in Patients with Schizophrenia A Comparison with Clozapine and Placebo","volume":"27","author":[{"family":"Elman","given":"I"}],"issued":{"date-parts":[["2002",8]]}}}],"schema":"https://github.com/citation-style-language/schema/raw/master/csl-citation.json"} </w:instrText>
      </w:r>
      <w:r w:rsidR="00FC75E0">
        <w:rPr>
          <w:rFonts w:ascii="Times New Roman" w:hAnsi="Times New Roman" w:cs="Times New Roman"/>
          <w:bCs/>
          <w:iCs/>
          <w:sz w:val="24"/>
          <w:szCs w:val="24"/>
        </w:rPr>
        <w:fldChar w:fldCharType="separate"/>
      </w:r>
      <w:r w:rsidR="001F5D81" w:rsidRPr="001F5D81">
        <w:rPr>
          <w:rFonts w:ascii="Times New Roman" w:hAnsi="Times New Roman" w:cs="Times New Roman"/>
          <w:sz w:val="24"/>
        </w:rPr>
        <w:t>(Dedania et al., 2011; Elman, 2002)</w:t>
      </w:r>
      <w:r w:rsidR="00FC75E0">
        <w:rPr>
          <w:rFonts w:ascii="Times New Roman" w:hAnsi="Times New Roman" w:cs="Times New Roman"/>
          <w:bCs/>
          <w:iCs/>
          <w:sz w:val="24"/>
          <w:szCs w:val="24"/>
        </w:rPr>
        <w:fldChar w:fldCharType="end"/>
      </w:r>
      <w:r w:rsidR="003B2913" w:rsidRPr="00B60D37">
        <w:rPr>
          <w:rFonts w:ascii="Times New Roman" w:hAnsi="Times New Roman" w:cs="Times New Roman"/>
          <w:bCs/>
          <w:iCs/>
          <w:sz w:val="24"/>
          <w:szCs w:val="24"/>
        </w:rPr>
        <w:t xml:space="preserve">. </w:t>
      </w:r>
      <w:r w:rsidR="0017311E" w:rsidRPr="00B60D37">
        <w:rPr>
          <w:rFonts w:ascii="Times New Roman" w:hAnsi="Times New Roman" w:cs="Times New Roman"/>
          <w:bCs/>
          <w:iCs/>
          <w:sz w:val="24"/>
          <w:szCs w:val="24"/>
        </w:rPr>
        <w:t>Blocking</w:t>
      </w:r>
      <w:r w:rsidR="00EB3AA1" w:rsidRPr="00B60D37">
        <w:rPr>
          <w:rFonts w:ascii="Times New Roman" w:hAnsi="Times New Roman" w:cs="Times New Roman"/>
          <w:bCs/>
          <w:iCs/>
          <w:sz w:val="24"/>
          <w:szCs w:val="24"/>
        </w:rPr>
        <w:t xml:space="preserve"> </w:t>
      </w:r>
      <w:r w:rsidR="0017311E" w:rsidRPr="00B60D37">
        <w:rPr>
          <w:rFonts w:ascii="Times New Roman" w:hAnsi="Times New Roman" w:cs="Times New Roman"/>
          <w:bCs/>
          <w:iCs/>
          <w:sz w:val="24"/>
          <w:szCs w:val="24"/>
        </w:rPr>
        <w:t xml:space="preserve">the </w:t>
      </w:r>
      <w:r w:rsidR="00EB3AA1" w:rsidRPr="00B60D37">
        <w:rPr>
          <w:rFonts w:ascii="Times New Roman" w:hAnsi="Times New Roman" w:cs="Times New Roman"/>
          <w:bCs/>
          <w:iCs/>
          <w:sz w:val="24"/>
          <w:szCs w:val="24"/>
        </w:rPr>
        <w:t xml:space="preserve">serotonin receptor it contributes to </w:t>
      </w:r>
      <w:r w:rsidR="003B2913" w:rsidRPr="00B60D37">
        <w:rPr>
          <w:rFonts w:ascii="Times New Roman" w:hAnsi="Times New Roman" w:cs="Times New Roman"/>
          <w:bCs/>
          <w:iCs/>
          <w:sz w:val="24"/>
          <w:szCs w:val="24"/>
        </w:rPr>
        <w:t>mood-stabilizing</w:t>
      </w:r>
      <w:r w:rsidR="00EB3AA1" w:rsidRPr="00B60D37">
        <w:rPr>
          <w:rFonts w:ascii="Times New Roman" w:hAnsi="Times New Roman" w:cs="Times New Roman"/>
          <w:bCs/>
          <w:iCs/>
          <w:sz w:val="24"/>
          <w:szCs w:val="24"/>
        </w:rPr>
        <w:t xml:space="preserve"> effects and helps improve negative symptoms and cognitive function</w:t>
      </w:r>
      <w:r w:rsidR="00FC75E0">
        <w:rPr>
          <w:rFonts w:ascii="Times New Roman" w:hAnsi="Times New Roman" w:cs="Times New Roman"/>
          <w:bCs/>
          <w:iCs/>
          <w:sz w:val="24"/>
          <w:szCs w:val="24"/>
        </w:rPr>
        <w:t xml:space="preserve"> </w:t>
      </w:r>
      <w:r w:rsidR="00FC75E0">
        <w:rPr>
          <w:rFonts w:ascii="Times New Roman" w:hAnsi="Times New Roman" w:cs="Times New Roman"/>
          <w:bCs/>
          <w:iCs/>
          <w:sz w:val="24"/>
          <w:szCs w:val="24"/>
        </w:rPr>
        <w:fldChar w:fldCharType="begin"/>
      </w:r>
      <w:r w:rsidR="001F5D81">
        <w:rPr>
          <w:rFonts w:ascii="Times New Roman" w:hAnsi="Times New Roman" w:cs="Times New Roman"/>
          <w:bCs/>
          <w:iCs/>
          <w:sz w:val="24"/>
          <w:szCs w:val="24"/>
        </w:rPr>
        <w:instrText xml:space="preserve"> ADDIN ZOTERO_ITEM CSL_CITATION {"citationID":"l3b6OKKg","properties":{"formattedCitation":"(Dedania et al., 2011; Elman, 2002)","plainCitation":"(Dedania et al., 2011; Elman, 2002)","noteIndex":0},"citationItems":[{"id":342,"uris":["http://zotero.org/users/local/Ys1kvdNt/items/28BH2TPR"],"itemData":{"id":342,"type":"article-journal","abstract":"The objective of the current study was to develop a validated stability-indicating assay method (SIAM) for risperidone after subjecting it to forced decomposition under hydrolysis, oxidation, photolysis, and thermal stress conditions. The liquid chromatographic separation was achieved isocratically on a symmetry C18 column (5 \n              μ\n              m size, 250 mm × 4.6 mm i.d.) using a mobile phase containing methanol: acetonitrile (80 : 20, v/v) at a flow rate of 1 mL/min and UV detection at 280 nm. Retention time of risperidone was found to be . The method was linear over the concentration range of 10–60 \n              μ\n              g/mL with a limit of detection and quantitation of 1.79 and 5.44 \n              μ\n              g/mL, respectively. The method has the requisite accuracy, specificity, sensitivity, and precision to assay risperidone in bulk form and pharmaceutical dosage forms. Degradation products resulting from the stress studies did not interfere with the detection of Risperidone, and the assay is thus stability indicating.","container-title":"International Journal of Analytical Chemistry","DOI":"10.1155/2011/124917","ISSN":"1687-8760, 1687-8779","journalAbbreviation":"International Journal of Analytical Chemistry","language":"en","license":"http://creativecommons.org/licenses/by/3.0/","page":"1-6","source":"DOI.org (Crossref)","title":"Stability Indicating HPLC Determination of Risperidone in Bulk Drug and Pharmaceutical Formulations","volume":"2011","author":[{"family":"Dedania","given":"Zarna R."},{"family":"Dedania","given":"Ronak R."},{"family":"Sheth","given":"Navin R."},{"family":"Patel","given":"Jigar B."},{"family":"Patel","given":"Bhavna"}],"issued":{"date-parts":[["2011"]]}}},{"id":357,"uris":["http://zotero.org/users/local/Ys1kvdNt/items/ZPWBHF6Y"],"itemData":{"id":357,"type":"article-journal","container-title":"Neuropsychopharmacology","DOI":"10.1016/S0893-133X(02)00314-7","ISSN":"0893133X","issue":"2","page":"293-300","source":"DOI.org (Crossref)","title":"Effects of Risperidone on the Peripheral Noradrenegic System in Patients with Schizophrenia A Comparison with Clozapine and Placebo","volume":"27","author":[{"family":"Elman","given":"I"}],"issued":{"date-parts":[["2002",8]]}}}],"schema":"https://github.com/citation-style-language/schema/raw/master/csl-citation.json"} </w:instrText>
      </w:r>
      <w:r w:rsidR="00FC75E0">
        <w:rPr>
          <w:rFonts w:ascii="Times New Roman" w:hAnsi="Times New Roman" w:cs="Times New Roman"/>
          <w:bCs/>
          <w:iCs/>
          <w:sz w:val="24"/>
          <w:szCs w:val="24"/>
        </w:rPr>
        <w:fldChar w:fldCharType="separate"/>
      </w:r>
      <w:r w:rsidR="001F5D81" w:rsidRPr="001F5D81">
        <w:rPr>
          <w:rFonts w:ascii="Times New Roman" w:hAnsi="Times New Roman" w:cs="Times New Roman"/>
          <w:sz w:val="24"/>
        </w:rPr>
        <w:t>(Dedania et al., 2011; Elman, 2002)</w:t>
      </w:r>
      <w:r w:rsidR="00FC75E0">
        <w:rPr>
          <w:rFonts w:ascii="Times New Roman" w:hAnsi="Times New Roman" w:cs="Times New Roman"/>
          <w:bCs/>
          <w:iCs/>
          <w:sz w:val="24"/>
          <w:szCs w:val="24"/>
        </w:rPr>
        <w:fldChar w:fldCharType="end"/>
      </w:r>
      <w:r w:rsidR="00EB3AA1" w:rsidRPr="00B60D37">
        <w:rPr>
          <w:rFonts w:ascii="Times New Roman" w:hAnsi="Times New Roman" w:cs="Times New Roman"/>
          <w:bCs/>
          <w:iCs/>
          <w:sz w:val="24"/>
          <w:szCs w:val="24"/>
        </w:rPr>
        <w:t xml:space="preserve">. Common side effects of RSP include drowsiness, dizziness, weight gain, increased appetite, and dry mouth. In some patients, it can cause extrapyramidal symptoms </w:t>
      </w:r>
      <w:r w:rsidR="003B2913" w:rsidRPr="00B60D37">
        <w:rPr>
          <w:rFonts w:ascii="Times New Roman" w:hAnsi="Times New Roman" w:cs="Times New Roman"/>
          <w:bCs/>
          <w:iCs/>
          <w:sz w:val="24"/>
          <w:szCs w:val="24"/>
        </w:rPr>
        <w:t>such as</w:t>
      </w:r>
      <w:r w:rsidR="00EB3AA1" w:rsidRPr="00B60D37">
        <w:rPr>
          <w:rFonts w:ascii="Times New Roman" w:hAnsi="Times New Roman" w:cs="Times New Roman"/>
          <w:bCs/>
          <w:iCs/>
          <w:sz w:val="24"/>
          <w:szCs w:val="24"/>
        </w:rPr>
        <w:t xml:space="preserve"> tremors or stiffness</w:t>
      </w:r>
      <w:r w:rsidR="00FC75E0">
        <w:rPr>
          <w:rFonts w:ascii="Times New Roman" w:hAnsi="Times New Roman" w:cs="Times New Roman"/>
          <w:bCs/>
          <w:iCs/>
          <w:sz w:val="24"/>
          <w:szCs w:val="24"/>
        </w:rPr>
        <w:t xml:space="preserve"> </w:t>
      </w:r>
      <w:r w:rsidR="00FC75E0">
        <w:rPr>
          <w:rFonts w:ascii="Times New Roman" w:hAnsi="Times New Roman" w:cs="Times New Roman"/>
          <w:bCs/>
          <w:iCs/>
          <w:sz w:val="24"/>
          <w:szCs w:val="24"/>
        </w:rPr>
        <w:fldChar w:fldCharType="begin"/>
      </w:r>
      <w:r w:rsidR="00FC75E0">
        <w:rPr>
          <w:rFonts w:ascii="Times New Roman" w:hAnsi="Times New Roman" w:cs="Times New Roman"/>
          <w:bCs/>
          <w:iCs/>
          <w:sz w:val="24"/>
          <w:szCs w:val="24"/>
        </w:rPr>
        <w:instrText xml:space="preserve"> ADDIN ZOTERO_ITEM CSL_CITATION {"citationID":"K1Hqdg5v","properties":{"formattedCitation":"(Patel et al., 2010)","plainCitation":"(Patel et al., 2010)","noteIndex":0},"citationItems":[{"id":341,"uris":["http://zotero.org/users/local/Ys1kvdNt/items/J2HXS2AT"],"itemData":{"id":341,"type":"article-journal","container-title":"Acta Chromatographica","DOI":"10.1556/AChrom.22.2010.4.5","ISSN":"1233-2356, 2083-5736","issue":"4","journalAbbreviation":"Acta Chromatographica","language":"en","page":"549-567","source":"DOI.org (Crossref)","title":"HPTLc method development and validation for analysis of risperidone in formulations, and in-vitro release study","volume":"22","author":[{"family":"Patel","given":"R. B."},{"family":"Patel","given":"B. G."},{"family":"Patel","given":"M. R."},{"family":"Bhatt","given":"K. K."}],"issued":{"date-parts":[["2010",12]]}}}],"schema":"https://github.com/citation-style-language/schema/raw/master/csl-citation.json"} </w:instrText>
      </w:r>
      <w:r w:rsidR="00FC75E0">
        <w:rPr>
          <w:rFonts w:ascii="Times New Roman" w:hAnsi="Times New Roman" w:cs="Times New Roman"/>
          <w:bCs/>
          <w:iCs/>
          <w:sz w:val="24"/>
          <w:szCs w:val="24"/>
        </w:rPr>
        <w:fldChar w:fldCharType="separate"/>
      </w:r>
      <w:r w:rsidR="00FC75E0" w:rsidRPr="00FC75E0">
        <w:rPr>
          <w:rFonts w:ascii="Times New Roman" w:hAnsi="Times New Roman" w:cs="Times New Roman"/>
          <w:sz w:val="24"/>
        </w:rPr>
        <w:t>(Patel et al., 2010)</w:t>
      </w:r>
      <w:r w:rsidR="00FC75E0">
        <w:rPr>
          <w:rFonts w:ascii="Times New Roman" w:hAnsi="Times New Roman" w:cs="Times New Roman"/>
          <w:bCs/>
          <w:iCs/>
          <w:sz w:val="24"/>
          <w:szCs w:val="24"/>
        </w:rPr>
        <w:fldChar w:fldCharType="end"/>
      </w:r>
      <w:r w:rsidR="00EB3AA1" w:rsidRPr="00B60D37">
        <w:rPr>
          <w:rFonts w:ascii="Times New Roman" w:hAnsi="Times New Roman" w:cs="Times New Roman"/>
          <w:bCs/>
          <w:iCs/>
          <w:sz w:val="24"/>
          <w:szCs w:val="24"/>
        </w:rPr>
        <w:t xml:space="preserve">. Generally, RSP is safe if taken as prescribed, but </w:t>
      </w:r>
      <w:r w:rsidR="007B238B">
        <w:rPr>
          <w:rFonts w:ascii="Times New Roman" w:hAnsi="Times New Roman" w:cs="Times New Roman"/>
          <w:bCs/>
          <w:iCs/>
          <w:sz w:val="24"/>
          <w:szCs w:val="24"/>
        </w:rPr>
        <w:t xml:space="preserve">an </w:t>
      </w:r>
      <w:r w:rsidR="00EB3AA1" w:rsidRPr="00B60D37">
        <w:rPr>
          <w:rFonts w:ascii="Times New Roman" w:hAnsi="Times New Roman" w:cs="Times New Roman"/>
          <w:bCs/>
          <w:iCs/>
          <w:sz w:val="24"/>
          <w:szCs w:val="24"/>
        </w:rPr>
        <w:t>overdose can be serious and potentially fatal</w:t>
      </w:r>
      <w:r w:rsidR="005745DC" w:rsidRPr="00B60D37">
        <w:rPr>
          <w:rFonts w:ascii="Times New Roman" w:hAnsi="Times New Roman" w:cs="Times New Roman"/>
          <w:bCs/>
          <w:iCs/>
          <w:sz w:val="24"/>
          <w:szCs w:val="24"/>
        </w:rPr>
        <w:t xml:space="preserve"> </w:t>
      </w:r>
      <w:r w:rsidR="005745DC" w:rsidRPr="00B60D37">
        <w:rPr>
          <w:rFonts w:ascii="Times New Roman" w:hAnsi="Times New Roman" w:cs="Times New Roman"/>
          <w:bCs/>
          <w:iCs/>
          <w:sz w:val="24"/>
          <w:szCs w:val="24"/>
        </w:rPr>
        <w:fldChar w:fldCharType="begin"/>
      </w:r>
      <w:r w:rsidR="00D212F1">
        <w:rPr>
          <w:rFonts w:ascii="Times New Roman" w:hAnsi="Times New Roman" w:cs="Times New Roman"/>
          <w:bCs/>
          <w:iCs/>
          <w:sz w:val="24"/>
          <w:szCs w:val="24"/>
        </w:rPr>
        <w:instrText xml:space="preserve"> ADDIN ZOTERO_ITEM CSL_CITATION {"citationID":"bFFFo7IJ","properties":{"formattedCitation":"(Belova et al., 2020; Yu et al., 2020)","plainCitation":"(Belova et al., 2020; Yu et al., 2020)","noteIndex":0},"citationItems":[{"id":339,"uris":["http://zotero.org/users/local/Ys1kvdNt/items/H483E2E7"],"itemData":{"id":339,"type":"article-journal","abstract":"Relevance\n              The large number of atypical antipsychotic drugs on the market , the breadth of their medical and non-medical use, and their relative affordability make atypical antipsychotics common causes of overdose, suicidal actions or non-medical use of drugs. At the same time, they remain insufficiently studied from the chemical and toxicological point of veiw.\n            \n            \n              Aim od study\n              : creation of available express method of detection of clozapine, olanzapine, quetiapine and risperidone in the urine of patients with acute poisoning.\n            \n            \n              Material and methods\n              Thin layer chromatography (TLC), gas chromatography with mass selective detection (GC-MS), and high performance liquid chromatography with mass selective detection (HPLC-MS/MS) were used. The preparation of intact urine samples with addition of standard solutions of clozapine, olanzapine, quetiapine, risperidone and urine samples of patients with symptoms of acute poisoning with given drugs was carried out by methods of liquid-liquid extraction at alkaline pH values for TLC chloroform, a mixture of ethyl acetate-diethyl ether (1:1) for GC-MS and acetonitrile for HPLC-MS/MS.\n            \n            \n              Results\n              A TLC method has been developed to detect clozapine, olanzapine, quetiapine and risperidone, which allows its the presence to be quickly revealed in the patient’s urine at the preliminary examination stage and also distinguish them from each other in case of the same type of symptoms of poisoning. For confirmatory analysis, it is advisable to use the methods of HPLC-MS/MS and GC-MS. Compared to confirmatory methods, the developed TLC-screening technique is expressive, does not require the use of expensive high-tech equipment and allows clozapine, olanzapine, quetiapine and risperidone to be differentiated from other toxicologically significant psychoactive substances found in general screening.","container-title":"Russian Sklifosovsky Journal \"Emergency Medical Care\"","DOI":"10.23934/2223-9022-2020-9-2-188-194","ISSN":"2541-8017, 2223-9022","issue":"2","journalAbbreviation":"Neotložnaâ med. pomoŝʹ","license":"https://www.jnmp.ru/jour/about/editorialPolicies#openAccessPolicy","page":"188-194","source":"DOI.org (Crossref)","title":"Chemical and Toxicological Diagnosis of Acute Poisoning with Clozapine, Olanzapine, Quetiapine and Risperidone","volume":"9","author":[{"family":"Belova","given":"M. V."},{"family":"Klyuyev","given":"E. A."},{"family":"Melnikov","given":"E. S."},{"family":"Poryadina","given":"M. N."}],"issued":{"date-parts":[["2020",10,22]]}}},{"id":348,"uris":["http://zotero.org/users/local/Ys1kvdNt/items/RIMMYCUA"],"itemData":{"id":348,"type":"article-journal","container-title":"Journal of Chromatography A","DOI":"10.1016/j.chroma.2020.461480","ISSN":"00219673","journalAbbreviation":"Journal of Chromatography A","language":"en","page":"461480","source":"DOI.org (Crossref)","title":"Electromembrane extraction of chlorprothixene, haloperidol and risperidone from whole blood and urine","volume":"1629","author":[{"family":"Yu","given":"Xiao"},{"family":"Li","given":"Xinlin"},{"family":"You","given":"Sunzhao"},{"family":"Shi","given":"Yuhang"},{"family":"Zhu","given":"Ruiqin"},{"family":"Dong","given":"Ying"},{"family":"Huang","given":"Chuixiu"}],"issued":{"date-parts":[["2020",10]]}}}],"schema":"https://github.com/citation-style-language/schema/raw/master/csl-citation.json"} </w:instrText>
      </w:r>
      <w:r w:rsidR="005745DC" w:rsidRPr="00B60D37">
        <w:rPr>
          <w:rFonts w:ascii="Times New Roman" w:hAnsi="Times New Roman" w:cs="Times New Roman"/>
          <w:bCs/>
          <w:iCs/>
          <w:sz w:val="24"/>
          <w:szCs w:val="24"/>
        </w:rPr>
        <w:fldChar w:fldCharType="separate"/>
      </w:r>
      <w:r w:rsidR="00D212F1" w:rsidRPr="00D212F1">
        <w:rPr>
          <w:rFonts w:ascii="Times New Roman" w:hAnsi="Times New Roman" w:cs="Times New Roman"/>
          <w:sz w:val="24"/>
        </w:rPr>
        <w:t>(Belova et al., 2020; Yu et al., 2020)</w:t>
      </w:r>
      <w:r w:rsidR="005745DC" w:rsidRPr="00B60D37">
        <w:rPr>
          <w:rFonts w:ascii="Times New Roman" w:hAnsi="Times New Roman" w:cs="Times New Roman"/>
          <w:bCs/>
          <w:iCs/>
          <w:sz w:val="24"/>
          <w:szCs w:val="24"/>
        </w:rPr>
        <w:fldChar w:fldCharType="end"/>
      </w:r>
      <w:r w:rsidR="00EB3AA1" w:rsidRPr="00B60D37">
        <w:rPr>
          <w:rFonts w:ascii="Times New Roman" w:hAnsi="Times New Roman" w:cs="Times New Roman"/>
          <w:bCs/>
          <w:iCs/>
          <w:sz w:val="24"/>
          <w:szCs w:val="24"/>
        </w:rPr>
        <w:t>, which may include severe sedation, hypotension, tachycardia, respiratory depression, coma, and death</w:t>
      </w:r>
      <w:r w:rsidR="003D26D3" w:rsidRPr="00B60D37">
        <w:rPr>
          <w:rFonts w:ascii="Times New Roman" w:hAnsi="Times New Roman" w:cs="Times New Roman"/>
          <w:bCs/>
          <w:iCs/>
          <w:sz w:val="24"/>
          <w:szCs w:val="24"/>
        </w:rPr>
        <w:t xml:space="preserve">. The risk of </w:t>
      </w:r>
      <w:r w:rsidR="003B2913" w:rsidRPr="00B60D37">
        <w:rPr>
          <w:rFonts w:ascii="Times New Roman" w:hAnsi="Times New Roman" w:cs="Times New Roman"/>
          <w:bCs/>
          <w:iCs/>
          <w:sz w:val="24"/>
          <w:szCs w:val="24"/>
        </w:rPr>
        <w:t>deadly</w:t>
      </w:r>
      <w:r w:rsidR="003D26D3" w:rsidRPr="00B60D37">
        <w:rPr>
          <w:rFonts w:ascii="Times New Roman" w:hAnsi="Times New Roman" w:cs="Times New Roman"/>
          <w:bCs/>
          <w:iCs/>
          <w:sz w:val="24"/>
          <w:szCs w:val="24"/>
        </w:rPr>
        <w:t xml:space="preserve"> outcomes increases with very high doses or when RSP is combined with other CNS depressants like alcohol or benzodiazepines</w:t>
      </w:r>
      <w:r w:rsidR="007B238B">
        <w:rPr>
          <w:rFonts w:ascii="Times New Roman" w:hAnsi="Times New Roman" w:cs="Times New Roman"/>
          <w:bCs/>
          <w:iCs/>
          <w:sz w:val="24"/>
          <w:szCs w:val="24"/>
        </w:rPr>
        <w:t xml:space="preserve"> </w:t>
      </w:r>
      <w:r w:rsidR="007B238B">
        <w:rPr>
          <w:rFonts w:ascii="Times New Roman" w:hAnsi="Times New Roman" w:cs="Times New Roman"/>
          <w:bCs/>
          <w:iCs/>
          <w:sz w:val="24"/>
          <w:szCs w:val="24"/>
        </w:rPr>
        <w:fldChar w:fldCharType="begin"/>
      </w:r>
      <w:r w:rsidR="007B238B">
        <w:rPr>
          <w:rFonts w:ascii="Times New Roman" w:hAnsi="Times New Roman" w:cs="Times New Roman"/>
          <w:bCs/>
          <w:iCs/>
          <w:sz w:val="24"/>
          <w:szCs w:val="24"/>
        </w:rPr>
        <w:instrText xml:space="preserve"> ADDIN ZOTERO_ITEM CSL_CITATION {"citationID":"emv3ZOWx","properties":{"formattedCitation":"(Belova et al., 2020)","plainCitation":"(Belova et al., 2020)","noteIndex":0},"citationItems":[{"id":339,"uris":["http://zotero.org/users/local/Ys1kvdNt/items/H483E2E7"],"itemData":{"id":339,"type":"article-journal","abstract":"Relevance\n              The large number of atypical antipsychotic drugs on the market , the breadth of their medical and non-medical use, and their relative affordability make atypical antipsychotics common causes of overdose, suicidal actions or non-medical use of drugs. At the same time, they remain insufficiently studied from the chemical and toxicological point of veiw.\n            \n            \n              Aim od study\n              : creation of available express method of detection of clozapine, olanzapine, quetiapine and risperidone in the urine of patients with acute poisoning.\n            \n            \n              Material and methods\n              Thin layer chromatography (TLC), gas chromatography with mass selective detection (GC-MS), and high performance liquid chromatography with mass selective detection (HPLC-MS/MS) were used. The preparation of intact urine samples with addition of standard solutions of clozapine, olanzapine, quetiapine, risperidone and urine samples of patients with symptoms of acute poisoning with given drugs was carried out by methods of liquid-liquid extraction at alkaline pH values for TLC chloroform, a mixture of ethyl acetate-diethyl ether (1:1) for GC-MS and acetonitrile for HPLC-MS/MS.\n            \n            \n              Results\n              A TLC method has been developed to detect clozapine, olanzapine, quetiapine and risperidone, which allows its the presence to be quickly revealed in the patient’s urine at the preliminary examination stage and also distinguish them from each other in case of the same type of symptoms of poisoning. For confirmatory analysis, it is advisable to use the methods of HPLC-MS/MS and GC-MS. Compared to confirmatory methods, the developed TLC-screening technique is expressive, does not require the use of expensive high-tech equipment and allows clozapine, olanzapine, quetiapine and risperidone to be differentiated from other toxicologically significant psychoactive substances found in general screening.","container-title":"Russian Sklifosovsky Journal \"Emergency Medical Care\"","DOI":"10.23934/2223-9022-2020-9-2-188-194","ISSN":"2541-8017, 2223-9022","issue":"2","journalAbbreviation":"Neotložnaâ med. pomoŝʹ","license":"https://www.jnmp.ru/jour/about/editorialPolicies#openAccessPolicy","page":"188-194","source":"DOI.org (Crossref)","title":"Chemical and Toxicological Diagnosis of Acute Poisoning with Clozapine, Olanzapine, Quetiapine and Risperidone","volume":"9","author":[{"family":"Belova","given":"M. V."},{"family":"Klyuyev","given":"E. A."},{"family":"Melnikov","given":"E. S."},{"family":"Poryadina","given":"M. N."}],"issued":{"date-parts":[["2020",10,22]]}}}],"schema":"https://github.com/citation-style-language/schema/raw/master/csl-citation.json"} </w:instrText>
      </w:r>
      <w:r w:rsidR="007B238B">
        <w:rPr>
          <w:rFonts w:ascii="Times New Roman" w:hAnsi="Times New Roman" w:cs="Times New Roman"/>
          <w:bCs/>
          <w:iCs/>
          <w:sz w:val="24"/>
          <w:szCs w:val="24"/>
        </w:rPr>
        <w:fldChar w:fldCharType="separate"/>
      </w:r>
      <w:r w:rsidR="007B238B" w:rsidRPr="007B238B">
        <w:rPr>
          <w:rFonts w:ascii="Times New Roman" w:hAnsi="Times New Roman" w:cs="Times New Roman"/>
          <w:sz w:val="24"/>
        </w:rPr>
        <w:t>(Belova et al., 2020)</w:t>
      </w:r>
      <w:r w:rsidR="007B238B">
        <w:rPr>
          <w:rFonts w:ascii="Times New Roman" w:hAnsi="Times New Roman" w:cs="Times New Roman"/>
          <w:bCs/>
          <w:iCs/>
          <w:sz w:val="24"/>
          <w:szCs w:val="24"/>
        </w:rPr>
        <w:fldChar w:fldCharType="end"/>
      </w:r>
      <w:r w:rsidR="003D26D3" w:rsidRPr="00B60D37">
        <w:rPr>
          <w:rFonts w:ascii="Times New Roman" w:hAnsi="Times New Roman" w:cs="Times New Roman"/>
          <w:bCs/>
          <w:iCs/>
          <w:sz w:val="24"/>
          <w:szCs w:val="24"/>
        </w:rPr>
        <w:t>. Fatality due to RSP overdosing is low but has been reported, often linked to intentional self-poisoning or accidental ingestion in vulnerable people</w:t>
      </w:r>
      <w:r w:rsidR="00465578" w:rsidRPr="00B60D37">
        <w:rPr>
          <w:rFonts w:ascii="Times New Roman" w:hAnsi="Times New Roman" w:cs="Times New Roman"/>
          <w:bCs/>
          <w:iCs/>
          <w:sz w:val="24"/>
          <w:szCs w:val="24"/>
        </w:rPr>
        <w:t xml:space="preserve"> </w:t>
      </w:r>
      <w:r w:rsidR="00465578" w:rsidRPr="00B60D37">
        <w:rPr>
          <w:rFonts w:ascii="Times New Roman" w:hAnsi="Times New Roman" w:cs="Times New Roman"/>
          <w:bCs/>
          <w:iCs/>
          <w:sz w:val="24"/>
          <w:szCs w:val="24"/>
        </w:rPr>
        <w:fldChar w:fldCharType="begin"/>
      </w:r>
      <w:r w:rsidR="00465578" w:rsidRPr="00B60D37">
        <w:rPr>
          <w:rFonts w:ascii="Times New Roman" w:hAnsi="Times New Roman" w:cs="Times New Roman"/>
          <w:bCs/>
          <w:iCs/>
          <w:sz w:val="24"/>
          <w:szCs w:val="24"/>
        </w:rPr>
        <w:instrText xml:space="preserve"> ADDIN ZOTERO_ITEM CSL_CITATION {"citationID":"LCZQ006r","properties":{"formattedCitation":"(Belova et al., 2020)","plainCitation":"(Belova et al., 2020)","noteIndex":0},"citationItems":[{"id":339,"uris":["http://zotero.org/users/local/Ys1kvdNt/items/H483E2E7"],"itemData":{"id":339,"type":"article-journal","abstract":"Relevance\n              The large number of atypical antipsychotic drugs on the market , the breadth of their medical and non-medical use, and their relative affordability make atypical antipsychotics common causes of overdose, suicidal actions or non-medical use of drugs. At the same time, they remain insufficiently studied from the chemical and toxicological point of veiw.\n            \n            \n              Aim od study\n              : creation of available express method of detection of clozapine, olanzapine, quetiapine and risperidone in the urine of patients with acute poisoning.\n            \n            \n              Material and methods\n              Thin layer chromatography (TLC), gas chromatography with mass selective detection (GC-MS), and high performance liquid chromatography with mass selective detection (HPLC-MS/MS) were used. The preparation of intact urine samples with addition of standard solutions of clozapine, olanzapine, quetiapine, risperidone and urine samples of patients with symptoms of acute poisoning with given drugs was carried out by methods of liquid-liquid extraction at alkaline pH values for TLC chloroform, a mixture of ethyl acetate-diethyl ether (1:1) for GC-MS and acetonitrile for HPLC-MS/MS.\n            \n            \n              Results\n              A TLC method has been developed to detect clozapine, olanzapine, quetiapine and risperidone, which allows its the presence to be quickly revealed in the patient’s urine at the preliminary examination stage and also distinguish them from each other in case of the same type of symptoms of poisoning. For confirmatory analysis, it is advisable to use the methods of HPLC-MS/MS and GC-MS. Compared to confirmatory methods, the developed TLC-screening technique is expressive, does not require the use of expensive high-tech equipment and allows clozapine, olanzapine, quetiapine and risperidone to be differentiated from other toxicologically significant psychoactive substances found in general screening.","container-title":"Russian Sklifosovsky Journal \"Emergency Medical Care\"","DOI":"10.23934/2223-9022-2020-9-2-188-194","ISSN":"2541-8017, 2223-9022","issue":"2","journalAbbreviation":"Neotložnaâ med. pomoŝʹ","license":"https://www.jnmp.ru/jour/about/editorialPolicies#openAccessPolicy","page":"188-194","source":"DOI.org (Crossref)","title":"Chemical and Toxicological Diagnosis of Acute Poisoning with Clozapine, Olanzapine, Quetiapine and Risperidone","volume":"9","author":[{"family":"Belova","given":"M. V."},{"family":"Klyuyev","given":"E. A."},{"family":"Melnikov","given":"E. S."},{"family":"Poryadina","given":"M. N."}],"issued":{"date-parts":[["2020",10,22]]}}}],"schema":"https://github.com/citation-style-language/schema/raw/master/csl-citation.json"} </w:instrText>
      </w:r>
      <w:r w:rsidR="00465578" w:rsidRPr="00B60D37">
        <w:rPr>
          <w:rFonts w:ascii="Times New Roman" w:hAnsi="Times New Roman" w:cs="Times New Roman"/>
          <w:bCs/>
          <w:iCs/>
          <w:sz w:val="24"/>
          <w:szCs w:val="24"/>
        </w:rPr>
        <w:fldChar w:fldCharType="separate"/>
      </w:r>
      <w:r w:rsidR="00465578" w:rsidRPr="00B60D37">
        <w:rPr>
          <w:rFonts w:ascii="Times New Roman" w:hAnsi="Times New Roman" w:cs="Times New Roman"/>
          <w:sz w:val="24"/>
        </w:rPr>
        <w:t>(Belova et al., 2020)</w:t>
      </w:r>
      <w:r w:rsidR="00465578" w:rsidRPr="00B60D37">
        <w:rPr>
          <w:rFonts w:ascii="Times New Roman" w:hAnsi="Times New Roman" w:cs="Times New Roman"/>
          <w:bCs/>
          <w:iCs/>
          <w:sz w:val="24"/>
          <w:szCs w:val="24"/>
        </w:rPr>
        <w:fldChar w:fldCharType="end"/>
      </w:r>
      <w:r w:rsidR="003D26D3" w:rsidRPr="00B60D37">
        <w:rPr>
          <w:rFonts w:ascii="Times New Roman" w:hAnsi="Times New Roman" w:cs="Times New Roman"/>
          <w:bCs/>
          <w:iCs/>
          <w:sz w:val="24"/>
          <w:szCs w:val="24"/>
        </w:rPr>
        <w:t xml:space="preserve">. </w:t>
      </w:r>
    </w:p>
    <w:p w14:paraId="11FC1779" w14:textId="77777777" w:rsidR="00723B9B" w:rsidRPr="00B60D37" w:rsidRDefault="00723B9B" w:rsidP="00B60D37">
      <w:pPr>
        <w:pStyle w:val="ListParagraph"/>
        <w:spacing w:after="0" w:line="360" w:lineRule="auto"/>
        <w:ind w:left="284"/>
        <w:jc w:val="both"/>
        <w:rPr>
          <w:rFonts w:ascii="Times New Roman" w:hAnsi="Times New Roman" w:cs="Times New Roman"/>
          <w:bCs/>
          <w:iCs/>
          <w:sz w:val="24"/>
          <w:szCs w:val="24"/>
        </w:rPr>
      </w:pPr>
    </w:p>
    <w:p w14:paraId="0AC69683" w14:textId="439977A9" w:rsidR="00CB478A" w:rsidRDefault="003B2913" w:rsidP="00CB478A">
      <w:pPr>
        <w:pStyle w:val="ListParagraph"/>
        <w:spacing w:after="0" w:line="360" w:lineRule="auto"/>
        <w:ind w:left="284"/>
        <w:jc w:val="both"/>
        <w:rPr>
          <w:rFonts w:ascii="Times New Roman" w:hAnsi="Times New Roman" w:cs="Times New Roman"/>
          <w:bCs/>
          <w:iCs/>
          <w:sz w:val="24"/>
          <w:szCs w:val="24"/>
        </w:rPr>
      </w:pPr>
      <w:r>
        <w:rPr>
          <w:rFonts w:ascii="Times New Roman" w:hAnsi="Times New Roman" w:cs="Times New Roman"/>
          <w:bCs/>
          <w:iCs/>
          <w:sz w:val="24"/>
          <w:szCs w:val="24"/>
        </w:rPr>
        <w:t xml:space="preserve">In earlier times, </w:t>
      </w:r>
      <w:r w:rsidR="006C32BC">
        <w:rPr>
          <w:rFonts w:ascii="Times New Roman" w:hAnsi="Times New Roman" w:cs="Times New Roman"/>
          <w:bCs/>
          <w:iCs/>
          <w:sz w:val="24"/>
          <w:szCs w:val="24"/>
        </w:rPr>
        <w:t>drug extraction was performed using liquid-liquid extraction (LLE) and solid-phase extraction (SPE), which are traditional methods with many disadvantages, such as time-consuming, non-environment-friendly, expensive, and laborious</w:t>
      </w:r>
      <w:r w:rsidR="00A12E5E">
        <w:rPr>
          <w:rFonts w:ascii="Times New Roman" w:hAnsi="Times New Roman" w:cs="Times New Roman"/>
          <w:bCs/>
          <w:iCs/>
          <w:sz w:val="24"/>
          <w:szCs w:val="24"/>
        </w:rPr>
        <w:t xml:space="preserve"> handling</w:t>
      </w:r>
      <w:r w:rsidR="007B238B">
        <w:rPr>
          <w:rFonts w:ascii="Times New Roman" w:hAnsi="Times New Roman" w:cs="Times New Roman"/>
          <w:bCs/>
          <w:iCs/>
          <w:sz w:val="24"/>
          <w:szCs w:val="24"/>
        </w:rPr>
        <w:t xml:space="preserve"> </w:t>
      </w:r>
      <w:r w:rsidR="007B238B">
        <w:rPr>
          <w:rFonts w:ascii="Times New Roman" w:hAnsi="Times New Roman" w:cs="Times New Roman"/>
          <w:bCs/>
          <w:iCs/>
          <w:sz w:val="24"/>
          <w:szCs w:val="24"/>
        </w:rPr>
        <w:fldChar w:fldCharType="begin"/>
      </w:r>
      <w:r w:rsidR="000C09D5">
        <w:rPr>
          <w:rFonts w:ascii="Times New Roman" w:hAnsi="Times New Roman" w:cs="Times New Roman"/>
          <w:bCs/>
          <w:iCs/>
          <w:sz w:val="24"/>
          <w:szCs w:val="24"/>
        </w:rPr>
        <w:instrText xml:space="preserve"> ADDIN ZOTERO_ITEM CSL_CITATION {"citationID":"8V7ffw8U","properties":{"custom":"(He et al., 2019; Patel et al., 2010)","formattedCitation":"(He et al., 2019; Patel et al., 2010)","plainCitation":"(He et al., 2019; Patel et al., 2010)","noteIndex":0},"citationItems":[{"id":314,"uris":["http://zotero.org/users/local/Ys1kvdNt/items/E22UHD9A"],"itemData":{"id":314,"type":"article-journal","abstract":"Sample preparation is a critical step in forensic analytical toxicology. Different extraction techniques are employed with the goals of removing interferences from the biological samples, such as blood, tissues and hair, reducing matrix effects and concentrating the target analytes, among others. With the objective of developing faster and more ecological procedures, microextraction techniques have been expanding their applications in the recent years. This article reviews various microextraction methods, which include solid‐based microextraction, such as solidphase microextraction, microextraction by packed sorbent and stir‐bar sorptive extraction, and liquid‐based microextraction, such as single drop/hollow fiber‐based liquid‐phase microextraction and dispersive liquid–liquid microextraction, as well as their applications to forensic toxicology analysis. The development trend in future microextraction sample preparation is discussed.","container-title":"Biomedical Chromatography","DOI":"10.1002/bmc.4444","ISSN":"0269-3879, 1099-0801","issue":"1","journalAbbreviation":"Biomedical Chromatography","language":"en","page":"e4444","source":"DOI.org (Crossref)","title":"Microextraction sample preparation techniques in forensic analytical toxicology","volume":"33","author":[{"family":"He","given":"Yi"},{"family":"Concheiro‐Guisan","given":"Marta"}],"issued":{"date-parts":[["2019",1]]}},"label":"page"},{"id":280,"uris":["http://zotero.org/users/local/Ys1kvdNt/items/XF6V96LS"],"itemData":{"id":280,"type":"article-journal","abstract":"A simple, rapid, cost-effective, and eco-friendly method is proposed for the simultaneous determination of some common overthe-counter drugs (aspirin, paracetamol, and caffeine [APC]) in saliva and pharmaceutical formulations based on the coupling of ultrasound-assisted emulsification microextraction (USEME) with thin-layer chromatography (TLC)‒image-processing analysis. The process involves the rapid injection of 65 µL of chloroform in diluted saliva samples (2 mL) followed by ultrasonication, which results in the formation of an emulsion. This solution is centrifuged, and 20 µL was spotted on TLC plate which was allowed to develop in mobile phase of ethyl acetate and acetic acid (95:5, v/v). The developed TLC plate was photographed, and the spots of APC were quantified by using the freely available ImageJ software (National Institute of Health [NIH], Bethesda, MD, USA). Factors which can influence the yield of USEME were screened using 27‒4 Placket–Burman design (PBD), and significant factors were optimized using central composite design (CCD). The recoveries and detection limits for all the analytes were found to be in the range of 89.2–94.1% and 0.007–0.012 mg spot−1, respectively. The assay was found to be linear in the range of 0.04–0.2 mg spot−1 with correlation of coefficient of 0.990–0.994. Intra- and inter-day precision for the assay were found to be in the range of 3.12–4.93% and 5.66–8.61%, respectively. The developed method does not require any special instrument and handling skill for the quantitative analysis of APC in saliva and pharmaceutical formulations.","container-title":"JPC - Journal of Planar Chromatography - Modern TLC","DOI":"10.1556/1006.2018.31.4.1","ISSN":"0933-4173, 1789-0993","issue":"4","journalAbbreviation":"JPC - Journal of Planar Chromatography - Modern TLC","language":"en","page":"265-271","source":"DOI.org (Crossref)","title":"Optimization of ultrasound-assisted emulsification microextraction by experimental design for determination of over-the-counter drugs by thin-layer chromatography–image-processing method","volume":"31","author":[{"family":"Jain","given":"Rajeev"}],"issued":{"date-parts":[["2018",8]]}}},{"id":341,"uris":["http://zotero.org/users/local/Ys1kvdNt/items/J2HXS2AT"],"itemData":{"id":341,"type":"article-journal","container-title":"Acta Chromatographica","DOI":"10.1556/AChrom.22.2010.4.5","ISSN":"1233-2356, 2083-5736","issue":"4","journalAbbreviation":"Acta Chromatographica","language":"en","page":"549-567","source":"DOI.org (Crossref)","title":"HPTLc method development and validation for analysis of risperidone in formulations, and in-vitro release study","volume":"22","author":[{"family":"Patel","given":"R. B."},{"family":"Patel","given":"B. G."},{"family":"Patel","given":"M. R."},{"family":"Bhatt","given":"K. K."}],"issued":{"date-parts":[["2010",12]]}},"label":"page"}],"schema":"https://github.com/citation-style-language/schema/raw/master/csl-citation.json"} </w:instrText>
      </w:r>
      <w:r w:rsidR="007B238B">
        <w:rPr>
          <w:rFonts w:ascii="Times New Roman" w:hAnsi="Times New Roman" w:cs="Times New Roman"/>
          <w:bCs/>
          <w:iCs/>
          <w:sz w:val="24"/>
          <w:szCs w:val="24"/>
        </w:rPr>
        <w:fldChar w:fldCharType="separate"/>
      </w:r>
      <w:r w:rsidR="000C09D5" w:rsidRPr="000C09D5">
        <w:rPr>
          <w:rFonts w:ascii="Times New Roman" w:hAnsi="Times New Roman" w:cs="Times New Roman"/>
          <w:sz w:val="24"/>
        </w:rPr>
        <w:t>(He et al., 2019; Patel et al., 2010)</w:t>
      </w:r>
      <w:r w:rsidR="007B238B">
        <w:rPr>
          <w:rFonts w:ascii="Times New Roman" w:hAnsi="Times New Roman" w:cs="Times New Roman"/>
          <w:bCs/>
          <w:iCs/>
          <w:sz w:val="24"/>
          <w:szCs w:val="24"/>
        </w:rPr>
        <w:fldChar w:fldCharType="end"/>
      </w:r>
      <w:r w:rsidR="00A12E5E">
        <w:rPr>
          <w:rFonts w:ascii="Times New Roman" w:hAnsi="Times New Roman" w:cs="Times New Roman"/>
          <w:bCs/>
          <w:iCs/>
          <w:sz w:val="24"/>
          <w:szCs w:val="24"/>
        </w:rPr>
        <w:t xml:space="preserve">. Thus, the introduction of an </w:t>
      </w:r>
      <w:r w:rsidR="007B238B">
        <w:rPr>
          <w:rFonts w:ascii="Times New Roman" w:hAnsi="Times New Roman" w:cs="Times New Roman"/>
          <w:bCs/>
          <w:iCs/>
          <w:sz w:val="24"/>
          <w:szCs w:val="24"/>
        </w:rPr>
        <w:t>advanced</w:t>
      </w:r>
      <w:r w:rsidR="00A12E5E">
        <w:rPr>
          <w:rFonts w:ascii="Times New Roman" w:hAnsi="Times New Roman" w:cs="Times New Roman"/>
          <w:bCs/>
          <w:iCs/>
          <w:sz w:val="24"/>
          <w:szCs w:val="24"/>
        </w:rPr>
        <w:t xml:space="preserve"> extra</w:t>
      </w:r>
      <w:r w:rsidR="007B238B">
        <w:rPr>
          <w:rFonts w:ascii="Times New Roman" w:hAnsi="Times New Roman" w:cs="Times New Roman"/>
          <w:bCs/>
          <w:iCs/>
          <w:sz w:val="24"/>
          <w:szCs w:val="24"/>
        </w:rPr>
        <w:t>ct</w:t>
      </w:r>
      <w:r w:rsidR="00A12E5E">
        <w:rPr>
          <w:rFonts w:ascii="Times New Roman" w:hAnsi="Times New Roman" w:cs="Times New Roman"/>
          <w:bCs/>
          <w:iCs/>
          <w:sz w:val="24"/>
          <w:szCs w:val="24"/>
        </w:rPr>
        <w:t>ion techniqu</w:t>
      </w:r>
      <w:r w:rsidR="007B238B">
        <w:rPr>
          <w:rFonts w:ascii="Times New Roman" w:hAnsi="Times New Roman" w:cs="Times New Roman"/>
          <w:bCs/>
          <w:iCs/>
          <w:sz w:val="24"/>
          <w:szCs w:val="24"/>
        </w:rPr>
        <w:t>e,</w:t>
      </w:r>
      <w:r w:rsidR="00A12E5E">
        <w:rPr>
          <w:rFonts w:ascii="Times New Roman" w:hAnsi="Times New Roman" w:cs="Times New Roman"/>
          <w:bCs/>
          <w:iCs/>
          <w:sz w:val="24"/>
          <w:szCs w:val="24"/>
        </w:rPr>
        <w:t xml:space="preserve"> dispersive liquid-liquid microextraction (DLLME) by Rezae</w:t>
      </w:r>
      <w:r w:rsidR="003153CC">
        <w:rPr>
          <w:rFonts w:ascii="Times New Roman" w:hAnsi="Times New Roman" w:cs="Times New Roman"/>
          <w:bCs/>
          <w:iCs/>
          <w:sz w:val="24"/>
          <w:szCs w:val="24"/>
        </w:rPr>
        <w:t>e</w:t>
      </w:r>
      <w:r w:rsidR="00A12E5E">
        <w:rPr>
          <w:rFonts w:ascii="Times New Roman" w:hAnsi="Times New Roman" w:cs="Times New Roman"/>
          <w:bCs/>
          <w:iCs/>
          <w:sz w:val="24"/>
          <w:szCs w:val="24"/>
        </w:rPr>
        <w:t xml:space="preserve"> et al. in 2006</w:t>
      </w:r>
      <w:r w:rsidR="003153CC">
        <w:rPr>
          <w:rFonts w:ascii="Times New Roman" w:hAnsi="Times New Roman" w:cs="Times New Roman"/>
          <w:bCs/>
          <w:iCs/>
          <w:sz w:val="24"/>
          <w:szCs w:val="24"/>
        </w:rPr>
        <w:t>,</w:t>
      </w:r>
      <w:r w:rsidR="00A12E5E">
        <w:rPr>
          <w:rFonts w:ascii="Times New Roman" w:hAnsi="Times New Roman" w:cs="Times New Roman"/>
          <w:bCs/>
          <w:iCs/>
          <w:sz w:val="24"/>
          <w:szCs w:val="24"/>
        </w:rPr>
        <w:t xml:space="preserve"> brought about a revolutionary change in separation science</w:t>
      </w:r>
      <w:r w:rsidR="000C09D5">
        <w:rPr>
          <w:rFonts w:ascii="Times New Roman" w:hAnsi="Times New Roman" w:cs="Times New Roman"/>
          <w:bCs/>
          <w:iCs/>
          <w:sz w:val="24"/>
          <w:szCs w:val="24"/>
        </w:rPr>
        <w:t xml:space="preserve"> </w:t>
      </w:r>
      <w:r w:rsidR="000C09D5">
        <w:rPr>
          <w:rFonts w:ascii="Times New Roman" w:hAnsi="Times New Roman" w:cs="Times New Roman"/>
          <w:bCs/>
          <w:iCs/>
          <w:sz w:val="24"/>
          <w:szCs w:val="24"/>
        </w:rPr>
        <w:fldChar w:fldCharType="begin"/>
      </w:r>
      <w:r w:rsidR="000C09D5">
        <w:rPr>
          <w:rFonts w:ascii="Times New Roman" w:hAnsi="Times New Roman" w:cs="Times New Roman"/>
          <w:bCs/>
          <w:iCs/>
          <w:sz w:val="24"/>
          <w:szCs w:val="24"/>
        </w:rPr>
        <w:instrText xml:space="preserve"> ADDIN ZOTERO_ITEM CSL_CITATION {"citationID":"bieUMcu7","properties":{"formattedCitation":"(Jain, 2018; Jain et al., 2020, 2021)","plainCitation":"(Jain, 2018; Jain et al., 2020, 2021)","noteIndex":0},"citationItems":[{"id":280,"uris":["http://zotero.org/users/local/Ys1kvdNt/items/XF6V96LS"],"itemData":{"id":280,"type":"article-journal","abstract":"A simple, rapid, cost-effective, and eco-friendly method is proposed for the simultaneous determination of some common overthe-counter drugs (aspirin, paracetamol, and caffeine [APC]) in saliva and pharmaceutical formulations based on the coupling of ultrasound-assisted emulsification microextraction (USEME) with thin-layer chromatography (TLC)‒image-processing analysis. The process involves the rapid injection of 65 µL of chloroform in diluted saliva samples (2 mL) followed by ultrasonication, which results in the formation of an emulsion. This solution is centrifuged, and 20 µL was spotted on TLC plate which was allowed to develop in mobile phase of ethyl acetate and acetic acid (95:5, v/v). The developed TLC plate was photographed, and the spots of APC were quantified by using the freely available ImageJ software (National Institute of Health [NIH], Bethesda, MD, USA). Factors which can influence the yield of USEME were screened using 27‒4 Placket–Burman design (PBD), and significant factors were optimized using central composite design (CCD). The recoveries and detection limits for all the analytes were found to be in the range of 89.2–94.1% and 0.007–0.012 mg spot−1, respectively. The assay was found to be linear in the range of 0.04–0.2 mg spot−1 with correlation of coefficient of 0.990–0.994. Intra- and inter-day precision for the assay were found to be in the range of 3.12–4.93% and 5.66–8.61%, respectively. The developed method does not require any special instrument and handling skill for the quantitative analysis of APC in saliva and pharmaceutical formulations.","container-title":"JPC - Journal of Planar Chromatography - Modern TLC","DOI":"10.1556/1006.2018.31.4.1","ISSN":"0933-4173, 1789-0993","issue":"4","journalAbbreviation":"JPC - Journal of Planar Chromatography - Modern TLC","language":"en","page":"265-271","source":"DOI.org (Crossref)","title":"Optimization of ultrasound-assisted emulsification microextraction by experimental design for determination of over-the-counter drugs by thin-layer chromatography–image-processing method","volume":"31","author":[{"family":"Jain","given":"Rajeev"}],"issued":{"date-parts":[["2018",8]]}}},{"id":323,"uris":["http://zotero.org/users/local/Ys1kvdNt/items/TUX5CWKX"],"itemData":{"id":323,"type":"article-journal","abstract":"A simple, rapid, cost-effective and green analytical method is developed based on ultrasoundassisted dispersive liquid–liquid microextraction (US-DLLME) coupled to thin-layer chromatography (TLC)-image analysis for the simultaneous determination of two major alkaloids of Strychnos nux-vomica L i.e., strychnine and brucine. The method is composed of three steps, namely (i) US-DLLME by injecting a mixture of 100-μL chloroform (extraction solvent) and 1-mL methanol (disperser solvent) in 5 mL of aqueous sample, followed by ultrasonication and centrifugation, (ii) TLC of 20 μL of sedimented phase with methanol: ammonia (100:1.5, v/v) as the mobile phase and visualization under ultraviolet radiation (254 nm) and (iii) photography of TLC plate and quantiﬁcation of spots by image analysis using freely available imageJ software (National Institute of Health, Bethesda, MD, USA). The limit of detection and limit of quantiﬁcation for both alkaloids were found to be in the range of 0.12–0.15 and 0.36–0.48 μg/spot, respectively. The method was found to be linear in the range of 0.5–5 μg/spot with correlation coefﬁcient (R2) of 0.995 and 0.997 for strychnine and brucine, respectively. The developed method was successfully applied for the determination of strychnine and brucine in Ayurvedic formulations and blood samples. The method does not require any sophisticated instrument and handling skills and can be adopted for rapid analysis of strychnine and brucine in forensic toxicological laboratories.","container-title":"Journal of Chromatographic Science","DOI":"10.1093/chromsci/bmaa007","ISSN":"0021-9665, 1945-239X","issue":"5","language":"en","license":"https://academic.oup.com/journals/pages/open_access/funder_policies/chorus/standard_publication_model","page":"477-484","source":"DOI.org (Crossref)","title":"A simple, cost-effective and rapid method for simultaneous determination of Strychnos nux-vomica alkaloids in blood and Ayurvedic medicines based on ultrasound-assisted dispersive liquid–liquid microextraction–thin-layer chromatography-image analysis","volume":"58","author":[{"family":"Jain","given":"Rajeev"},{"family":"Tripathi","given":"Rohitashva Mani"},{"family":"Negi","given":"Archna"},{"family":"Singh","given":"Shishir Pratap"}],"issued":{"date-parts":[["2020",4,25]]}}},{"id":302,"uris":["http://zotero.org/users/local/Ys1kvdNt/items/EEPNCZ82"],"itemData":{"id":302,"type":"article-journal","container-title":"Microchemical Journal","DOI":"10.1016/j.microc.2020.105870","ISSN":"0026265X","journalAbbreviation":"Microchemical Journal","language":"en","page":"105870","source":"DOI.org (Crossref)","title":"Dispersive liquid-liquid microextraction combined with digital image colorimetry for paracetamol analysis","volume":"162","author":[{"family":"Jain","given":"Rajeev"},{"family":"Jha","given":"Rakesh Roshan"},{"family":"Kumari","given":"Aparna"},{"family":"Khatri","given":"Indu"}],"issued":{"date-parts":[["2021",3]]}}}],"schema":"https://github.com/citation-style-language/schema/raw/master/csl-citation.json"} </w:instrText>
      </w:r>
      <w:r w:rsidR="000C09D5">
        <w:rPr>
          <w:rFonts w:ascii="Times New Roman" w:hAnsi="Times New Roman" w:cs="Times New Roman"/>
          <w:bCs/>
          <w:iCs/>
          <w:sz w:val="24"/>
          <w:szCs w:val="24"/>
        </w:rPr>
        <w:fldChar w:fldCharType="separate"/>
      </w:r>
      <w:r w:rsidR="000C09D5" w:rsidRPr="000C09D5">
        <w:rPr>
          <w:rFonts w:ascii="Times New Roman" w:hAnsi="Times New Roman" w:cs="Times New Roman"/>
          <w:sz w:val="24"/>
        </w:rPr>
        <w:t>(Jain, 2018; Jain et al., 2020, 2021)</w:t>
      </w:r>
      <w:r w:rsidR="000C09D5">
        <w:rPr>
          <w:rFonts w:ascii="Times New Roman" w:hAnsi="Times New Roman" w:cs="Times New Roman"/>
          <w:bCs/>
          <w:iCs/>
          <w:sz w:val="24"/>
          <w:szCs w:val="24"/>
        </w:rPr>
        <w:fldChar w:fldCharType="end"/>
      </w:r>
      <w:r w:rsidR="00A12E5E">
        <w:rPr>
          <w:rFonts w:ascii="Times New Roman" w:hAnsi="Times New Roman" w:cs="Times New Roman"/>
          <w:bCs/>
          <w:iCs/>
          <w:sz w:val="24"/>
          <w:szCs w:val="24"/>
        </w:rPr>
        <w:t xml:space="preserve">. </w:t>
      </w:r>
      <w:r w:rsidR="00567CA3">
        <w:rPr>
          <w:rFonts w:ascii="Times New Roman" w:hAnsi="Times New Roman" w:cs="Times New Roman"/>
          <w:bCs/>
          <w:iCs/>
          <w:sz w:val="24"/>
          <w:szCs w:val="24"/>
        </w:rPr>
        <w:t xml:space="preserve">DLLME </w:t>
      </w:r>
      <w:r w:rsidR="007B238B">
        <w:rPr>
          <w:rFonts w:ascii="Times New Roman" w:hAnsi="Times New Roman" w:cs="Times New Roman"/>
          <w:bCs/>
          <w:iCs/>
          <w:sz w:val="24"/>
          <w:szCs w:val="24"/>
        </w:rPr>
        <w:t xml:space="preserve">is </w:t>
      </w:r>
      <w:r w:rsidR="0050192B">
        <w:rPr>
          <w:rFonts w:ascii="Times New Roman" w:hAnsi="Times New Roman" w:cs="Times New Roman"/>
          <w:bCs/>
          <w:iCs/>
          <w:sz w:val="24"/>
          <w:szCs w:val="24"/>
        </w:rPr>
        <w:t xml:space="preserve">a </w:t>
      </w:r>
      <w:r w:rsidR="007B238B">
        <w:rPr>
          <w:rFonts w:ascii="Times New Roman" w:hAnsi="Times New Roman" w:cs="Times New Roman"/>
          <w:bCs/>
          <w:iCs/>
          <w:sz w:val="24"/>
          <w:szCs w:val="24"/>
        </w:rPr>
        <w:t xml:space="preserve">much faster and more effective </w:t>
      </w:r>
      <w:r w:rsidR="006C32BC">
        <w:rPr>
          <w:rFonts w:ascii="Times New Roman" w:hAnsi="Times New Roman" w:cs="Times New Roman"/>
          <w:bCs/>
          <w:iCs/>
          <w:sz w:val="24"/>
          <w:szCs w:val="24"/>
        </w:rPr>
        <w:t>extraction method</w:t>
      </w:r>
      <w:r w:rsidR="007B238B">
        <w:rPr>
          <w:rFonts w:ascii="Times New Roman" w:hAnsi="Times New Roman" w:cs="Times New Roman"/>
          <w:bCs/>
          <w:iCs/>
          <w:sz w:val="24"/>
          <w:szCs w:val="24"/>
        </w:rPr>
        <w:t>, enabling the extraction of analytes</w:t>
      </w:r>
      <w:r w:rsidR="00A12E5E">
        <w:rPr>
          <w:rFonts w:ascii="Times New Roman" w:hAnsi="Times New Roman" w:cs="Times New Roman"/>
          <w:bCs/>
          <w:iCs/>
          <w:sz w:val="24"/>
          <w:szCs w:val="24"/>
        </w:rPr>
        <w:t xml:space="preserve"> in trace amounts</w:t>
      </w:r>
      <w:r w:rsidR="000C09D5">
        <w:rPr>
          <w:rFonts w:ascii="Times New Roman" w:hAnsi="Times New Roman" w:cs="Times New Roman"/>
          <w:bCs/>
          <w:iCs/>
          <w:sz w:val="24"/>
          <w:szCs w:val="24"/>
        </w:rPr>
        <w:t xml:space="preserve"> </w:t>
      </w:r>
      <w:r w:rsidR="000C09D5">
        <w:rPr>
          <w:rFonts w:ascii="Times New Roman" w:hAnsi="Times New Roman" w:cs="Times New Roman"/>
          <w:bCs/>
          <w:iCs/>
          <w:sz w:val="24"/>
          <w:szCs w:val="24"/>
        </w:rPr>
        <w:fldChar w:fldCharType="begin"/>
      </w:r>
      <w:r w:rsidR="007D4E03">
        <w:rPr>
          <w:rFonts w:ascii="Times New Roman" w:hAnsi="Times New Roman" w:cs="Times New Roman"/>
          <w:bCs/>
          <w:iCs/>
          <w:sz w:val="24"/>
          <w:szCs w:val="24"/>
        </w:rPr>
        <w:instrText xml:space="preserve"> ADDIN ZOTERO_ITEM CSL_CITATION {"citationID":"Zwz4mXfO","properties":{"formattedCitation":"(Jain, 2018; Jain et al., 2020, 2021)","plainCitation":"(Jain, 2018; Jain et al., 2020, 2021)","noteIndex":0},"citationItems":[{"id":280,"uris":["http://zotero.org/users/local/Ys1kvdNt/items/XF6V96LS"],"itemData":{"id":280,"type":"article-journal","abstract":"A simple, rapid, cost-effective, and eco-friendly method is proposed for the simultaneous determination of some common overthe-counter drugs (aspirin, paracetamol, and caffeine [APC]) in saliva and pharmaceutical formulations based on the coupling of ultrasound-assisted emulsification microextraction (USEME) with thin-layer chromatography (TLC)‒image-processing analysis. The process involves the rapid injection of 65 µL of chloroform in diluted saliva samples (2 mL) followed by ultrasonication, which results in the formation of an emulsion. This solution is centrifuged, and 20 µL was spotted on TLC plate which was allowed to develop in mobile phase of ethyl acetate and acetic acid (95:5, v/v). The developed TLC plate was photographed, and the spots of APC were quantified by using the freely available ImageJ software (National Institute of Health [NIH], Bethesda, MD, USA). Factors which can influence the yield of USEME were screened using 27‒4 Placket–Burman design (PBD), and significant factors were optimized using central composite design (CCD). The recoveries and detection limits for all the analytes were found to be in the range of 89.2–94.1% and 0.007–0.012 mg spot−1, respectively. The assay was found to be linear in the range of 0.04–0.2 mg spot−1 with correlation of coefficient of 0.990–0.994. Intra- and inter-day precision for the assay were found to be in the range of 3.12–4.93% and 5.66–8.61%, respectively. The developed method does not require any special instrument and handling skill for the quantitative analysis of APC in saliva and pharmaceutical formulations.","container-title":"JPC - Journal of Planar Chromatography - Modern TLC","DOI":"10.1556/1006.2018.31.4.1","ISSN":"0933-4173, 1789-0993","issue":"4","journalAbbreviation":"JPC - Journal of Planar Chromatography - Modern TLC","language":"en","page":"265-271","source":"DOI.org (Crossref)","title":"Optimization of ultrasound-assisted emulsification microextraction by experimental design for determination of over-the-counter drugs by thin-layer chromatography–image-processing method","volume":"31","author":[{"family":"Jain","given":"Rajeev"}],"issued":{"date-parts":[["2018",8]]}}},{"id":323,"uris":["http://zotero.org/users/local/Ys1kvdNt/items/TUX5CWKX"],"itemData":{"id":323,"type":"article-journal","abstract":"A simple, rapid, cost-effective and green analytical method is developed based on ultrasoundassisted dispersive liquid–liquid microextraction (US-DLLME) coupled to thin-layer chromatography (TLC)-image analysis for the simultaneous determination of two major alkaloids of Strychnos nux-vomica L i.e., strychnine and brucine. The method is composed of three steps, namely (i) US-DLLME by injecting a mixture of 100-μL chloroform (extraction solvent) and 1-mL methanol (disperser solvent) in 5 mL of aqueous sample, followed by ultrasonication and centrifugation, (ii) TLC of 20 μL of sedimented phase with methanol: ammonia (100:1.5, v/v) as the mobile phase and visualization under ultraviolet radiation (254 nm) and (iii) photography of TLC plate and quantiﬁcation of spots by image analysis using freely available imageJ software (National Institute of Health, Bethesda, MD, USA). The limit of detection and limit of quantiﬁcation for both alkaloids were found to be in the range of 0.12–0.15 and 0.36–0.48 μg/spot, respectively. The method was found to be linear in the range of 0.5–5 μg/spot with correlation coefﬁcient (R2) of 0.995 and 0.997 for strychnine and brucine, respectively. The developed method was successfully applied for the determination of strychnine and brucine in Ayurvedic formulations and blood samples. The method does not require any sophisticated instrument and handling skills and can be adopted for rapid analysis of strychnine and brucine in forensic toxicological laboratories.","container-title":"Journal of Chromatographic Science","DOI":"10.1093/chromsci/bmaa007","ISSN":"0021-9665, 1945-239X","issue":"5","language":"en","license":"https://academic.oup.com/journals/pages/open_access/funder_policies/chorus/standard_publication_model","page":"477-484","source":"DOI.org (Crossref)","title":"A simple, cost-effective and rapid method for simultaneous determination of Strychnos nux-vomica alkaloids in blood and Ayurvedic medicines based on ultrasound-assisted dispersive liquid–liquid microextraction–thin-layer chromatography-image analysis","volume":"58","author":[{"family":"Jain","given":"Rajeev"},{"family":"Tripathi","given":"Rohitashva Mani"},{"family":"Negi","given":"Archna"},{"family":"Singh","given":"Shishir Pratap"}],"issued":{"date-parts":[["2020",4,25]]}}},{"id":302,"uris":["http://zotero.org/users/local/Ys1kvdNt/items/EEPNCZ82"],"itemData":{"id":302,"type":"article-journal","container-title":"Microchemical Journal","DOI":"10.1016/j.microc.2020.105870","ISSN":"0026265X","journalAbbreviation":"Microchemical Journal","language":"en","page":"105870","source":"DOI.org (Crossref)","title":"Dispersive liquid-liquid microextraction combined with digital image colorimetry for paracetamol analysis","volume":"162","author":[{"family":"Jain","given":"Rajeev"},{"family":"Jha","given":"Rakesh Roshan"},{"family":"Kumari","given":"Aparna"},{"family":"Khatri","given":"Indu"}],"issued":{"date-parts":[["2021",3]]}}}],"schema":"https://github.com/citation-style-language/schema/raw/master/csl-citation.json"} </w:instrText>
      </w:r>
      <w:r w:rsidR="000C09D5">
        <w:rPr>
          <w:rFonts w:ascii="Times New Roman" w:hAnsi="Times New Roman" w:cs="Times New Roman"/>
          <w:bCs/>
          <w:iCs/>
          <w:sz w:val="24"/>
          <w:szCs w:val="24"/>
        </w:rPr>
        <w:fldChar w:fldCharType="separate"/>
      </w:r>
      <w:r w:rsidR="000C09D5" w:rsidRPr="000C09D5">
        <w:rPr>
          <w:rFonts w:ascii="Times New Roman" w:hAnsi="Times New Roman" w:cs="Times New Roman"/>
          <w:sz w:val="24"/>
        </w:rPr>
        <w:t>(Jain, 2018; Jain et al., 2020, 2021)</w:t>
      </w:r>
      <w:r w:rsidR="000C09D5">
        <w:rPr>
          <w:rFonts w:ascii="Times New Roman" w:hAnsi="Times New Roman" w:cs="Times New Roman"/>
          <w:bCs/>
          <w:iCs/>
          <w:sz w:val="24"/>
          <w:szCs w:val="24"/>
        </w:rPr>
        <w:fldChar w:fldCharType="end"/>
      </w:r>
      <w:r w:rsidR="00A12E5E">
        <w:rPr>
          <w:rFonts w:ascii="Times New Roman" w:hAnsi="Times New Roman" w:cs="Times New Roman"/>
          <w:bCs/>
          <w:iCs/>
          <w:sz w:val="24"/>
          <w:szCs w:val="24"/>
        </w:rPr>
        <w:t>.</w:t>
      </w:r>
      <w:r w:rsidR="00567CA3">
        <w:rPr>
          <w:rFonts w:ascii="Times New Roman" w:hAnsi="Times New Roman" w:cs="Times New Roman"/>
          <w:bCs/>
          <w:iCs/>
          <w:sz w:val="24"/>
          <w:szCs w:val="24"/>
        </w:rPr>
        <w:t xml:space="preserve"> In which </w:t>
      </w:r>
      <w:r w:rsidR="00567CA3">
        <w:rPr>
          <w:rFonts w:ascii="Times New Roman" w:hAnsi="Times New Roman" w:cs="Times New Roman"/>
          <w:bCs/>
          <w:iCs/>
          <w:sz w:val="24"/>
          <w:szCs w:val="24"/>
        </w:rPr>
        <w:lastRenderedPageBreak/>
        <w:t xml:space="preserve">the disperser solvent </w:t>
      </w:r>
      <w:r w:rsidR="00EB3AA1">
        <w:rPr>
          <w:rFonts w:ascii="Times New Roman" w:hAnsi="Times New Roman" w:cs="Times New Roman"/>
          <w:bCs/>
          <w:iCs/>
          <w:sz w:val="24"/>
          <w:szCs w:val="24"/>
        </w:rPr>
        <w:t>acts</w:t>
      </w:r>
      <w:r w:rsidR="00567CA3">
        <w:rPr>
          <w:rFonts w:ascii="Times New Roman" w:hAnsi="Times New Roman" w:cs="Times New Roman"/>
          <w:bCs/>
          <w:iCs/>
          <w:sz w:val="24"/>
          <w:szCs w:val="24"/>
        </w:rPr>
        <w:t xml:space="preserve"> as a third phase</w:t>
      </w:r>
      <w:r w:rsidR="00A12E5E">
        <w:rPr>
          <w:rFonts w:ascii="Times New Roman" w:hAnsi="Times New Roman" w:cs="Times New Roman"/>
          <w:bCs/>
          <w:iCs/>
          <w:sz w:val="24"/>
          <w:szCs w:val="24"/>
        </w:rPr>
        <w:t>,</w:t>
      </w:r>
      <w:r w:rsidR="00567CA3">
        <w:rPr>
          <w:rFonts w:ascii="Times New Roman" w:hAnsi="Times New Roman" w:cs="Times New Roman"/>
          <w:bCs/>
          <w:iCs/>
          <w:sz w:val="24"/>
          <w:szCs w:val="24"/>
        </w:rPr>
        <w:t xml:space="preserve"> dispersing the organic solvent into the aqueous phase via </w:t>
      </w:r>
      <w:r w:rsidR="007B238B">
        <w:rPr>
          <w:rFonts w:ascii="Times New Roman" w:hAnsi="Times New Roman" w:cs="Times New Roman"/>
          <w:bCs/>
          <w:iCs/>
          <w:sz w:val="24"/>
          <w:szCs w:val="24"/>
        </w:rPr>
        <w:t>micelle formation, thereby</w:t>
      </w:r>
      <w:r w:rsidR="00567CA3">
        <w:rPr>
          <w:rFonts w:ascii="Times New Roman" w:hAnsi="Times New Roman" w:cs="Times New Roman"/>
          <w:bCs/>
          <w:iCs/>
          <w:sz w:val="24"/>
          <w:szCs w:val="24"/>
        </w:rPr>
        <w:t xml:space="preserve"> increasing the surface area for the mass transfer of the analyte into the organic solvent</w:t>
      </w:r>
      <w:r w:rsidR="007D4E03">
        <w:rPr>
          <w:rFonts w:ascii="Times New Roman" w:hAnsi="Times New Roman" w:cs="Times New Roman"/>
          <w:bCs/>
          <w:iCs/>
          <w:sz w:val="24"/>
          <w:szCs w:val="24"/>
        </w:rPr>
        <w:t xml:space="preserve"> </w:t>
      </w:r>
      <w:r w:rsidR="007D4E03">
        <w:rPr>
          <w:rFonts w:ascii="Times New Roman" w:hAnsi="Times New Roman" w:cs="Times New Roman"/>
          <w:bCs/>
          <w:iCs/>
          <w:sz w:val="24"/>
          <w:szCs w:val="24"/>
        </w:rPr>
        <w:fldChar w:fldCharType="begin"/>
      </w:r>
      <w:r w:rsidR="007D4E03">
        <w:rPr>
          <w:rFonts w:ascii="Times New Roman" w:hAnsi="Times New Roman" w:cs="Times New Roman"/>
          <w:bCs/>
          <w:iCs/>
          <w:sz w:val="24"/>
          <w:szCs w:val="24"/>
        </w:rPr>
        <w:instrText xml:space="preserve"> ADDIN ZOTERO_ITEM CSL_CITATION {"citationID":"CNgy66YE","properties":{"formattedCitation":"(Jain, 2018; Jain et al., 2020, 2021)","plainCitation":"(Jain, 2018; Jain et al., 2020, 2021)","noteIndex":0},"citationItems":[{"id":280,"uris":["http://zotero.org/users/local/Ys1kvdNt/items/XF6V96LS"],"itemData":{"id":280,"type":"article-journal","abstract":"A simple, rapid, cost-effective, and eco-friendly method is proposed for the simultaneous determination of some common overthe-counter drugs (aspirin, paracetamol, and caffeine [APC]) in saliva and pharmaceutical formulations based on the coupling of ultrasound-assisted emulsification microextraction (USEME) with thin-layer chromatography (TLC)‒image-processing analysis. The process involves the rapid injection of 65 µL of chloroform in diluted saliva samples (2 mL) followed by ultrasonication, which results in the formation of an emulsion. This solution is centrifuged, and 20 µL was spotted on TLC plate which was allowed to develop in mobile phase of ethyl acetate and acetic acid (95:5, v/v). The developed TLC plate was photographed, and the spots of APC were quantified by using the freely available ImageJ software (National Institute of Health [NIH], Bethesda, MD, USA). Factors which can influence the yield of USEME were screened using 27‒4 Placket–Burman design (PBD), and significant factors were optimized using central composite design (CCD). The recoveries and detection limits for all the analytes were found to be in the range of 89.2–94.1% and 0.007–0.012 mg spot−1, respectively. The assay was found to be linear in the range of 0.04–0.2 mg spot−1 with correlation of coefficient of 0.990–0.994. Intra- and inter-day precision for the assay were found to be in the range of 3.12–4.93% and 5.66–8.61%, respectively. The developed method does not require any special instrument and handling skill for the quantitative analysis of APC in saliva and pharmaceutical formulations.","container-title":"JPC - Journal of Planar Chromatography - Modern TLC","DOI":"10.1556/1006.2018.31.4.1","ISSN":"0933-4173, 1789-0993","issue":"4","journalAbbreviation":"JPC - Journal of Planar Chromatography - Modern TLC","language":"en","page":"265-271","source":"DOI.org (Crossref)","title":"Optimization of ultrasound-assisted emulsification microextraction by experimental design for determination of over-the-counter drugs by thin-layer chromatography–image-processing method","volume":"31","author":[{"family":"Jain","given":"Rajeev"}],"issued":{"date-parts":[["2018",8]]}}},{"id":323,"uris":["http://zotero.org/users/local/Ys1kvdNt/items/TUX5CWKX"],"itemData":{"id":323,"type":"article-journal","abstract":"A simple, rapid, cost-effective and green analytical method is developed based on ultrasoundassisted dispersive liquid–liquid microextraction (US-DLLME) coupled to thin-layer chromatography (TLC)-image analysis for the simultaneous determination of two major alkaloids of Strychnos nux-vomica L i.e., strychnine and brucine. The method is composed of three steps, namely (i) US-DLLME by injecting a mixture of 100-μL chloroform (extraction solvent) and 1-mL methanol (disperser solvent) in 5 mL of aqueous sample, followed by ultrasonication and centrifugation, (ii) TLC of 20 μL of sedimented phase with methanol: ammonia (100:1.5, v/v) as the mobile phase and visualization under ultraviolet radiation (254 nm) and (iii) photography of TLC plate and quantiﬁcation of spots by image analysis using freely available imageJ software (National Institute of Health, Bethesda, MD, USA). The limit of detection and limit of quantiﬁcation for both alkaloids were found to be in the range of 0.12–0.15 and 0.36–0.48 μg/spot, respectively. The method was found to be linear in the range of 0.5–5 μg/spot with correlation coefﬁcient (R2) of 0.995 and 0.997 for strychnine and brucine, respectively. The developed method was successfully applied for the determination of strychnine and brucine in Ayurvedic formulations and blood samples. The method does not require any sophisticated instrument and handling skills and can be adopted for rapid analysis of strychnine and brucine in forensic toxicological laboratories.","container-title":"Journal of Chromatographic Science","DOI":"10.1093/chromsci/bmaa007","ISSN":"0021-9665, 1945-239X","issue":"5","language":"en","license":"https://academic.oup.com/journals/pages/open_access/funder_policies/chorus/standard_publication_model","page":"477-484","source":"DOI.org (Crossref)","title":"A simple, cost-effective and rapid method for simultaneous determination of Strychnos nux-vomica alkaloids in blood and Ayurvedic medicines based on ultrasound-assisted dispersive liquid–liquid microextraction–thin-layer chromatography-image analysis","volume":"58","author":[{"family":"Jain","given":"Rajeev"},{"family":"Tripathi","given":"Rohitashva Mani"},{"family":"Negi","given":"Archna"},{"family":"Singh","given":"Shishir Pratap"}],"issued":{"date-parts":[["2020",4,25]]}}},{"id":302,"uris":["http://zotero.org/users/local/Ys1kvdNt/items/EEPNCZ82"],"itemData":{"id":302,"type":"article-journal","container-title":"Microchemical Journal","DOI":"10.1016/j.microc.2020.105870","ISSN":"0026265X","journalAbbreviation":"Microchemical Journal","language":"en","page":"105870","source":"DOI.org (Crossref)","title":"Dispersive liquid-liquid microextraction combined with digital image colorimetry for paracetamol analysis","volume":"162","author":[{"family":"Jain","given":"Rajeev"},{"family":"Jha","given":"Rakesh Roshan"},{"family":"Kumari","given":"Aparna"},{"family":"Khatri","given":"Indu"}],"issued":{"date-parts":[["2021",3]]}}}],"schema":"https://github.com/citation-style-language/schema/raw/master/csl-citation.json"} </w:instrText>
      </w:r>
      <w:r w:rsidR="007D4E03">
        <w:rPr>
          <w:rFonts w:ascii="Times New Roman" w:hAnsi="Times New Roman" w:cs="Times New Roman"/>
          <w:bCs/>
          <w:iCs/>
          <w:sz w:val="24"/>
          <w:szCs w:val="24"/>
        </w:rPr>
        <w:fldChar w:fldCharType="separate"/>
      </w:r>
      <w:r w:rsidR="007D4E03" w:rsidRPr="007D4E03">
        <w:rPr>
          <w:rFonts w:ascii="Times New Roman" w:hAnsi="Times New Roman" w:cs="Times New Roman"/>
          <w:sz w:val="24"/>
        </w:rPr>
        <w:t>(Jain, 2018; Jain et al., 2020, 2021)</w:t>
      </w:r>
      <w:r w:rsidR="007D4E03">
        <w:rPr>
          <w:rFonts w:ascii="Times New Roman" w:hAnsi="Times New Roman" w:cs="Times New Roman"/>
          <w:bCs/>
          <w:iCs/>
          <w:sz w:val="24"/>
          <w:szCs w:val="24"/>
        </w:rPr>
        <w:fldChar w:fldCharType="end"/>
      </w:r>
      <w:r w:rsidR="00567CA3">
        <w:rPr>
          <w:rFonts w:ascii="Times New Roman" w:hAnsi="Times New Roman" w:cs="Times New Roman"/>
          <w:bCs/>
          <w:iCs/>
          <w:sz w:val="24"/>
          <w:szCs w:val="24"/>
        </w:rPr>
        <w:t>.</w:t>
      </w:r>
      <w:r w:rsidR="00874D0E">
        <w:rPr>
          <w:rFonts w:ascii="Times New Roman" w:hAnsi="Times New Roman" w:cs="Times New Roman"/>
          <w:bCs/>
          <w:iCs/>
          <w:sz w:val="24"/>
          <w:szCs w:val="24"/>
        </w:rPr>
        <w:t xml:space="preserve"> After centrifugation, the organic solvent enriched with the analyte separates from the aqueous phase and can be collected for analysis by techniques such as chromatography or spectroscopy</w:t>
      </w:r>
      <w:r w:rsidR="007D4E03">
        <w:rPr>
          <w:rFonts w:ascii="Times New Roman" w:hAnsi="Times New Roman" w:cs="Times New Roman"/>
          <w:bCs/>
          <w:iCs/>
          <w:sz w:val="24"/>
          <w:szCs w:val="24"/>
        </w:rPr>
        <w:t xml:space="preserve"> </w:t>
      </w:r>
      <w:r w:rsidR="007D4E03">
        <w:rPr>
          <w:rFonts w:ascii="Times New Roman" w:hAnsi="Times New Roman" w:cs="Times New Roman"/>
          <w:bCs/>
          <w:iCs/>
          <w:sz w:val="24"/>
          <w:szCs w:val="24"/>
        </w:rPr>
        <w:fldChar w:fldCharType="begin"/>
      </w:r>
      <w:r w:rsidR="002B73AC">
        <w:rPr>
          <w:rFonts w:ascii="Times New Roman" w:hAnsi="Times New Roman" w:cs="Times New Roman"/>
          <w:bCs/>
          <w:iCs/>
          <w:sz w:val="24"/>
          <w:szCs w:val="24"/>
        </w:rPr>
        <w:instrText xml:space="preserve"> ADDIN ZOTERO_ITEM CSL_CITATION {"citationID":"TiMDCxVP","properties":{"formattedCitation":"(Jain, 2018; Jain et al., 2020, 2021)","plainCitation":"(Jain, 2018; Jain et al., 2020, 2021)","noteIndex":0},"citationItems":[{"id":280,"uris":["http://zotero.org/users/local/Ys1kvdNt/items/XF6V96LS"],"itemData":{"id":280,"type":"article-journal","abstract":"A simple, rapid, cost-effective, and eco-friendly method is proposed for the simultaneous determination of some common overthe-counter drugs (aspirin, paracetamol, and caffeine [APC]) in saliva and pharmaceutical formulations based on the coupling of ultrasound-assisted emulsification microextraction (USEME) with thin-layer chromatography (TLC)‒image-processing analysis. The process involves the rapid injection of 65 µL of chloroform in diluted saliva samples (2 mL) followed by ultrasonication, which results in the formation of an emulsion. This solution is centrifuged, and 20 µL was spotted on TLC plate which was allowed to develop in mobile phase of ethyl acetate and acetic acid (95:5, v/v). The developed TLC plate was photographed, and the spots of APC were quantified by using the freely available ImageJ software (National Institute of Health [NIH], Bethesda, MD, USA). Factors which can influence the yield of USEME were screened using 27‒4 Placket–Burman design (PBD), and significant factors were optimized using central composite design (CCD). The recoveries and detection limits for all the analytes were found to be in the range of 89.2–94.1% and 0.007–0.012 mg spot−1, respectively. The assay was found to be linear in the range of 0.04–0.2 mg spot−1 with correlation of coefficient of 0.990–0.994. Intra- and inter-day precision for the assay were found to be in the range of 3.12–4.93% and 5.66–8.61%, respectively. The developed method does not require any special instrument and handling skill for the quantitative analysis of APC in saliva and pharmaceutical formulations.","container-title":"JPC - Journal of Planar Chromatography - Modern TLC","DOI":"10.1556/1006.2018.31.4.1","ISSN":"0933-4173, 1789-0993","issue":"4","journalAbbreviation":"JPC - Journal of Planar Chromatography - Modern TLC","language":"en","page":"265-271","source":"DOI.org (Crossref)","title":"Optimization of ultrasound-assisted emulsification microextraction by experimental design for determination of over-the-counter drugs by thin-layer chromatography–image-processing method","volume":"31","author":[{"family":"Jain","given":"Rajeev"}],"issued":{"date-parts":[["2018",8]]}}},{"id":323,"uris":["http://zotero.org/users/local/Ys1kvdNt/items/TUX5CWKX"],"itemData":{"id":323,"type":"article-journal","abstract":"A simple, rapid, cost-effective and green analytical method is developed based on ultrasoundassisted dispersive liquid–liquid microextraction (US-DLLME) coupled to thin-layer chromatography (TLC)-image analysis for the simultaneous determination of two major alkaloids of Strychnos nux-vomica L i.e., strychnine and brucine. The method is composed of three steps, namely (i) US-DLLME by injecting a mixture of 100-μL chloroform (extraction solvent) and 1-mL methanol (disperser solvent) in 5 mL of aqueous sample, followed by ultrasonication and centrifugation, (ii) TLC of 20 μL of sedimented phase with methanol: ammonia (100:1.5, v/v) as the mobile phase and visualization under ultraviolet radiation (254 nm) and (iii) photography of TLC plate and quantiﬁcation of spots by image analysis using freely available imageJ software (National Institute of Health, Bethesda, MD, USA). The limit of detection and limit of quantiﬁcation for both alkaloids were found to be in the range of 0.12–0.15 and 0.36–0.48 μg/spot, respectively. The method was found to be linear in the range of 0.5–5 μg/spot with correlation coefﬁcient (R2) of 0.995 and 0.997 for strychnine and brucine, respectively. The developed method was successfully applied for the determination of strychnine and brucine in Ayurvedic formulations and blood samples. The method does not require any sophisticated instrument and handling skills and can be adopted for rapid analysis of strychnine and brucine in forensic toxicological laboratories.","container-title":"Journal of Chromatographic Science","DOI":"10.1093/chromsci/bmaa007","ISSN":"0021-9665, 1945-239X","issue":"5","language":"en","license":"https://academic.oup.com/journals/pages/open_access/funder_policies/chorus/standard_publication_model","page":"477-484","source":"DOI.org (Crossref)","title":"A simple, cost-effective and rapid method for simultaneous determination of Strychnos nux-vomica alkaloids in blood and Ayurvedic medicines based on ultrasound-assisted dispersive liquid–liquid microextraction–thin-layer chromatography-image analysis","volume":"58","author":[{"family":"Jain","given":"Rajeev"},{"family":"Tripathi","given":"Rohitashva Mani"},{"family":"Negi","given":"Archna"},{"family":"Singh","given":"Shishir Pratap"}],"issued":{"date-parts":[["2020",4,25]]}}},{"id":302,"uris":["http://zotero.org/users/local/Ys1kvdNt/items/EEPNCZ82"],"itemData":{"id":302,"type":"article-journal","container-title":"Microchemical Journal","DOI":"10.1016/j.microc.2020.105870","ISSN":"0026265X","journalAbbreviation":"Microchemical Journal","language":"en","page":"105870","source":"DOI.org (Crossref)","title":"Dispersive liquid-liquid microextraction combined with digital image colorimetry for paracetamol analysis","volume":"162","author":[{"family":"Jain","given":"Rajeev"},{"family":"Jha","given":"Rakesh Roshan"},{"family":"Kumari","given":"Aparna"},{"family":"Khatri","given":"Indu"}],"issued":{"date-parts":[["2021",3]]}}}],"schema":"https://github.com/citation-style-language/schema/raw/master/csl-citation.json"} </w:instrText>
      </w:r>
      <w:r w:rsidR="007D4E03">
        <w:rPr>
          <w:rFonts w:ascii="Times New Roman" w:hAnsi="Times New Roman" w:cs="Times New Roman"/>
          <w:bCs/>
          <w:iCs/>
          <w:sz w:val="24"/>
          <w:szCs w:val="24"/>
        </w:rPr>
        <w:fldChar w:fldCharType="separate"/>
      </w:r>
      <w:r w:rsidR="007D4E03" w:rsidRPr="007D4E03">
        <w:rPr>
          <w:rFonts w:ascii="Times New Roman" w:hAnsi="Times New Roman" w:cs="Times New Roman"/>
          <w:sz w:val="24"/>
        </w:rPr>
        <w:t>(Jain, 2018; Jain et al., 2020, 2021)</w:t>
      </w:r>
      <w:r w:rsidR="007D4E03">
        <w:rPr>
          <w:rFonts w:ascii="Times New Roman" w:hAnsi="Times New Roman" w:cs="Times New Roman"/>
          <w:bCs/>
          <w:iCs/>
          <w:sz w:val="24"/>
          <w:szCs w:val="24"/>
        </w:rPr>
        <w:fldChar w:fldCharType="end"/>
      </w:r>
      <w:r w:rsidR="00874D0E">
        <w:rPr>
          <w:rFonts w:ascii="Times New Roman" w:hAnsi="Times New Roman" w:cs="Times New Roman"/>
          <w:bCs/>
          <w:iCs/>
          <w:sz w:val="24"/>
          <w:szCs w:val="24"/>
        </w:rPr>
        <w:t xml:space="preserve">. DLLME is valued for its simplicity, speed, low solvent consumption, and high enrichment factors, making it widely used in environmental, pharmaceutical, and forensic analysis. </w:t>
      </w:r>
    </w:p>
    <w:p w14:paraId="6D56A0D1" w14:textId="77777777" w:rsidR="00723B9B" w:rsidRDefault="00723B9B" w:rsidP="00CB478A">
      <w:pPr>
        <w:pStyle w:val="ListParagraph"/>
        <w:spacing w:after="0" w:line="360" w:lineRule="auto"/>
        <w:ind w:left="284"/>
        <w:jc w:val="both"/>
        <w:rPr>
          <w:rFonts w:ascii="Times New Roman" w:hAnsi="Times New Roman" w:cs="Times New Roman"/>
          <w:bCs/>
          <w:iCs/>
          <w:sz w:val="24"/>
          <w:szCs w:val="24"/>
        </w:rPr>
      </w:pPr>
    </w:p>
    <w:p w14:paraId="57C465E5" w14:textId="5355C29B" w:rsidR="001B3398" w:rsidRDefault="001B3398" w:rsidP="00CB478A">
      <w:pPr>
        <w:pStyle w:val="ListParagraph"/>
        <w:spacing w:after="0" w:line="360" w:lineRule="auto"/>
        <w:ind w:left="284"/>
        <w:jc w:val="both"/>
        <w:rPr>
          <w:rFonts w:ascii="Times New Roman" w:hAnsi="Times New Roman" w:cs="Times New Roman"/>
          <w:bCs/>
          <w:iCs/>
          <w:sz w:val="24"/>
          <w:szCs w:val="24"/>
        </w:rPr>
      </w:pPr>
      <w:r>
        <w:rPr>
          <w:rFonts w:ascii="Times New Roman" w:hAnsi="Times New Roman" w:cs="Times New Roman"/>
          <w:bCs/>
          <w:iCs/>
          <w:sz w:val="24"/>
          <w:szCs w:val="24"/>
        </w:rPr>
        <w:t xml:space="preserve">Thin-layer chromatography (TLC) has been a staple technique in analytical chemistry due to its simplicity, speed, and </w:t>
      </w:r>
      <w:r w:rsidR="00590B68">
        <w:rPr>
          <w:rFonts w:ascii="Times New Roman" w:hAnsi="Times New Roman" w:cs="Times New Roman"/>
          <w:bCs/>
          <w:iCs/>
          <w:sz w:val="24"/>
          <w:szCs w:val="24"/>
        </w:rPr>
        <w:t>versatility</w:t>
      </w:r>
      <w:r w:rsidR="002B57DF">
        <w:rPr>
          <w:rFonts w:ascii="Times New Roman" w:hAnsi="Times New Roman" w:cs="Times New Roman"/>
          <w:bCs/>
          <w:iCs/>
          <w:sz w:val="24"/>
          <w:szCs w:val="24"/>
        </w:rPr>
        <w:t xml:space="preserve"> </w:t>
      </w:r>
      <w:r w:rsidR="002B57DF">
        <w:rPr>
          <w:rFonts w:ascii="Times New Roman" w:hAnsi="Times New Roman" w:cs="Times New Roman"/>
          <w:bCs/>
          <w:iCs/>
          <w:sz w:val="24"/>
          <w:szCs w:val="24"/>
        </w:rPr>
        <w:fldChar w:fldCharType="begin"/>
      </w:r>
      <w:r w:rsidR="002B57DF">
        <w:rPr>
          <w:rFonts w:ascii="Times New Roman" w:hAnsi="Times New Roman" w:cs="Times New Roman"/>
          <w:bCs/>
          <w:iCs/>
          <w:sz w:val="24"/>
          <w:szCs w:val="24"/>
        </w:rPr>
        <w:instrText xml:space="preserve"> ADDIN ZOTERO_ITEM CSL_CITATION {"citationID":"8fgOmA83","properties":{"custom":"(Jain et al., 2017)","formattedCitation":"(Jain et al., 2017)","plainCitation":"(Jain et al., 2017)","noteIndex":0},"citationItems":[{"id":304,"uris":["http://zotero.org/users/local/Ys1kvdNt/items/DP3XP4J7"],"itemData":{"id":304,"type":"article-journal","abstract":"Aim: A new analytical platform combining ultrasound assisted-dispersive liquid-liquid microextraction (US-DLLME) with thin layer chromatography (TLC)-image processing analysis has been proposed.","container-title":"Toxicology and Forensic Medicine - Open Journal","DOI":"10.17140/TFMOJ-2-113","ISSN":"24748978","issue":"1","journalAbbreviation":"Toxicol Forensic Med Open J","language":"en","page":"17-25","source":"DOI.org (Crossref)","title":"Coupling Microextraction With Thin Layer Chromatography-Image Processing Analysis: A New Analytical Platform for Drug Analysis","title-short":"Coupling Microextraction With Thin Layer Chromatography-Image Processing Analysis","volume":"2","author":[{"literal":"Forensic Toxicology Division, Central Forensic Science Laboratory, Ministry of Home Affairs, Government of India, Tetelia, Gotanagar, Guwahati 781033, Assam, India"},{"family":"Jain","given":"Rajeev"},{"family":"Singh","given":"Ritu"},{"literal":"Department of Environmental Science, School of Earth Sciences, Central University of Rajasthan, NH8, Bandarsindri, Kishangarh, Ajmer 305817, Rajasthan, India"},{"family":"Sudhaker","given":"S"},{"literal":"Forensic Toxicology Division, Central Forensic Science Laboratory, Ministry of Home Affairs, Government of India, Tetelia, Gotanagar, Guwahati 781033, Assam, India"},{"family":"Barik","given":"Ashok Kumar"},{"literal":"Document Division, Central Forensic Science Laboratory, Ministry of Home Affairs, Government of India, Tetelia, Gotanagar, Guwahati 781033, Assam, India"},{"family":"Kumar","given":"Sanjeet"},{"literal":"Forensic Chemistry Division, Central Forensic Science Laboratory, Ministry of Home Affairs, Government of India, Gorachand Road, Kolkata 700014, West Bengal, India"}],"issued":{"date-parts":[["2017",4,28]]}}}],"schema":"https://github.com/citation-style-language/schema/raw/master/csl-citation.json"} </w:instrText>
      </w:r>
      <w:r w:rsidR="002B57DF">
        <w:rPr>
          <w:rFonts w:ascii="Times New Roman" w:hAnsi="Times New Roman" w:cs="Times New Roman"/>
          <w:bCs/>
          <w:iCs/>
          <w:sz w:val="24"/>
          <w:szCs w:val="24"/>
        </w:rPr>
        <w:fldChar w:fldCharType="separate"/>
      </w:r>
      <w:r w:rsidR="002B73AC" w:rsidRPr="002B73AC">
        <w:rPr>
          <w:rFonts w:ascii="Times New Roman" w:hAnsi="Times New Roman" w:cs="Times New Roman"/>
          <w:sz w:val="24"/>
        </w:rPr>
        <w:t>(Jain et al., 2017)</w:t>
      </w:r>
      <w:r w:rsidR="002B57DF">
        <w:rPr>
          <w:rFonts w:ascii="Times New Roman" w:hAnsi="Times New Roman" w:cs="Times New Roman"/>
          <w:bCs/>
          <w:iCs/>
          <w:sz w:val="24"/>
          <w:szCs w:val="24"/>
        </w:rPr>
        <w:fldChar w:fldCharType="end"/>
      </w:r>
      <w:r w:rsidR="007D4E03">
        <w:rPr>
          <w:rFonts w:ascii="Times New Roman" w:hAnsi="Times New Roman" w:cs="Times New Roman"/>
          <w:bCs/>
          <w:iCs/>
          <w:sz w:val="24"/>
          <w:szCs w:val="24"/>
        </w:rPr>
        <w:t xml:space="preserve">; </w:t>
      </w:r>
      <w:r w:rsidR="007D4E03" w:rsidRPr="007D4E03">
        <w:rPr>
          <w:rFonts w:ascii="Times New Roman" w:hAnsi="Times New Roman" w:cs="Times New Roman"/>
          <w:bCs/>
          <w:sz w:val="24"/>
          <w:szCs w:val="24"/>
        </w:rPr>
        <w:t>Akash</w:t>
      </w:r>
      <w:r w:rsidR="007D4E03">
        <w:rPr>
          <w:rFonts w:ascii="Times New Roman" w:hAnsi="Times New Roman" w:cs="Times New Roman"/>
          <w:bCs/>
          <w:sz w:val="24"/>
          <w:szCs w:val="24"/>
        </w:rPr>
        <w:t xml:space="preserve"> et al., 2025</w:t>
      </w:r>
      <w:r w:rsidR="007D4E03">
        <w:rPr>
          <w:rFonts w:ascii="Times New Roman" w:hAnsi="Times New Roman" w:cs="Times New Roman"/>
          <w:bCs/>
          <w:iCs/>
          <w:sz w:val="24"/>
          <w:szCs w:val="24"/>
        </w:rPr>
        <w:t>)</w:t>
      </w:r>
      <w:r>
        <w:rPr>
          <w:rFonts w:ascii="Times New Roman" w:hAnsi="Times New Roman" w:cs="Times New Roman"/>
          <w:bCs/>
          <w:iCs/>
          <w:sz w:val="24"/>
          <w:szCs w:val="24"/>
        </w:rPr>
        <w:t xml:space="preserve">. Since </w:t>
      </w:r>
      <w:r w:rsidR="00DD2AA8">
        <w:rPr>
          <w:rFonts w:ascii="Times New Roman" w:hAnsi="Times New Roman" w:cs="Times New Roman"/>
          <w:bCs/>
          <w:iCs/>
          <w:sz w:val="24"/>
          <w:szCs w:val="24"/>
        </w:rPr>
        <w:t>2006</w:t>
      </w:r>
      <w:r w:rsidR="00590B68">
        <w:rPr>
          <w:rFonts w:ascii="Times New Roman" w:hAnsi="Times New Roman" w:cs="Times New Roman"/>
          <w:bCs/>
          <w:iCs/>
          <w:sz w:val="24"/>
          <w:szCs w:val="24"/>
        </w:rPr>
        <w:t>,</w:t>
      </w:r>
      <w:r>
        <w:rPr>
          <w:rFonts w:ascii="Times New Roman" w:hAnsi="Times New Roman" w:cs="Times New Roman"/>
          <w:bCs/>
          <w:iCs/>
          <w:sz w:val="24"/>
          <w:szCs w:val="24"/>
        </w:rPr>
        <w:t xml:space="preserve"> TLC has evolved from a rudimentary method for separating compounds into a highly refined </w:t>
      </w:r>
      <w:r w:rsidR="00590B68">
        <w:rPr>
          <w:rFonts w:ascii="Times New Roman" w:hAnsi="Times New Roman" w:cs="Times New Roman"/>
          <w:bCs/>
          <w:iCs/>
          <w:sz w:val="24"/>
          <w:szCs w:val="24"/>
        </w:rPr>
        <w:t>tool</w:t>
      </w:r>
      <w:r>
        <w:rPr>
          <w:rFonts w:ascii="Times New Roman" w:hAnsi="Times New Roman" w:cs="Times New Roman"/>
          <w:bCs/>
          <w:iCs/>
          <w:sz w:val="24"/>
          <w:szCs w:val="24"/>
        </w:rPr>
        <w:t xml:space="preserve"> widely used in fields ranging from </w:t>
      </w:r>
      <w:r w:rsidR="00590B68">
        <w:rPr>
          <w:rFonts w:ascii="Times New Roman" w:hAnsi="Times New Roman" w:cs="Times New Roman"/>
          <w:bCs/>
          <w:iCs/>
          <w:sz w:val="24"/>
          <w:szCs w:val="24"/>
        </w:rPr>
        <w:t>environmental</w:t>
      </w:r>
      <w:r>
        <w:rPr>
          <w:rFonts w:ascii="Times New Roman" w:hAnsi="Times New Roman" w:cs="Times New Roman"/>
          <w:bCs/>
          <w:iCs/>
          <w:sz w:val="24"/>
          <w:szCs w:val="24"/>
        </w:rPr>
        <w:t xml:space="preserve"> to forensic science</w:t>
      </w:r>
      <w:r w:rsidR="00CF1652">
        <w:rPr>
          <w:rFonts w:ascii="Times New Roman" w:hAnsi="Times New Roman" w:cs="Times New Roman"/>
          <w:bCs/>
          <w:iCs/>
          <w:sz w:val="24"/>
          <w:szCs w:val="24"/>
        </w:rPr>
        <w:t xml:space="preserve"> </w:t>
      </w:r>
      <w:r w:rsidR="002B57DF">
        <w:rPr>
          <w:rFonts w:ascii="Times New Roman" w:hAnsi="Times New Roman" w:cs="Times New Roman"/>
          <w:bCs/>
          <w:iCs/>
          <w:sz w:val="24"/>
          <w:szCs w:val="24"/>
        </w:rPr>
        <w:fldChar w:fldCharType="begin"/>
      </w:r>
      <w:r w:rsidR="002B57DF">
        <w:rPr>
          <w:rFonts w:ascii="Times New Roman" w:hAnsi="Times New Roman" w:cs="Times New Roman"/>
          <w:bCs/>
          <w:iCs/>
          <w:sz w:val="24"/>
          <w:szCs w:val="24"/>
        </w:rPr>
        <w:instrText xml:space="preserve"> ADDIN ZOTERO_ITEM CSL_CITATION {"citationID":"T34dgwpe","properties":{"custom":"(Jain et al., 2017)\n\\uc0\\u160{}","formattedCitation":"(Jain et al., 2017)\n\\uc0\\u160{}","plainCitation":"(Jain et al., 2017) ","noteIndex":0},"citationItems":[{"id":304,"uris":["http://zotero.org/users/local/Ys1kvdNt/items/DP3XP4J7"],"itemData":{"id":304,"type":"article-journal","abstract":"Aim: A new analytical platform combining ultrasound assisted-dispersive liquid-liquid microextraction (US-DLLME) with thin layer chromatography (TLC)-image processing analysis has been proposed.","container-title":"Toxicology and Forensic Medicine - Open Journal","DOI":"10.17140/TFMOJ-2-113","ISSN":"24748978","issue":"1","journalAbbreviation":"Toxicol Forensic Med Open J","language":"en","page":"17-25","source":"DOI.org (Crossref)","title":"Coupling Microextraction With Thin Layer Chromatography-Image Processing Analysis: A New Analytical Platform for Drug Analysis","title-short":"Coupling Microextraction With Thin Layer Chromatography-Image Processing Analysis","volume":"2","author":[{"literal":"Forensic Toxicology Division, Central Forensic Science Laboratory, Ministry of Home Affairs, Government of India, Tetelia, Gotanagar, Guwahati 781033, Assam, India"},{"family":"Jain","given":"Rajeev"},{"family":"Singh","given":"Ritu"},{"literal":"Department of Environmental Science, School of Earth Sciences, Central University of Rajasthan, NH8, Bandarsindri, Kishangarh, Ajmer 305817, Rajasthan, India"},{"family":"Sudhaker","given":"S"},{"literal":"Forensic Toxicology Division, Central Forensic Science Laboratory, Ministry of Home Affairs, Government of India, Tetelia, Gotanagar, Guwahati 781033, Assam, India"},{"family":"Barik","given":"Ashok Kumar"},{"literal":"Document Division, Central Forensic Science Laboratory, Ministry of Home Affairs, Government of India, Tetelia, Gotanagar, Guwahati 781033, Assam, India"},{"family":"Kumar","given":"Sanjeet"},{"literal":"Forensic Chemistry Division, Central Forensic Science Laboratory, Ministry of Home Affairs, Government of India, Gorachand Road, Kolkata 700014, West Bengal, India"}],"issued":{"date-parts":[["2017",4,28]]}}}],"schema":"https://github.com/citation-style-language/schema/raw/master/csl-citation.json"} </w:instrText>
      </w:r>
      <w:r w:rsidR="002B57DF">
        <w:rPr>
          <w:rFonts w:ascii="Times New Roman" w:hAnsi="Times New Roman" w:cs="Times New Roman"/>
          <w:bCs/>
          <w:iCs/>
          <w:sz w:val="24"/>
          <w:szCs w:val="24"/>
        </w:rPr>
        <w:fldChar w:fldCharType="separate"/>
      </w:r>
      <w:r w:rsidR="007D4E03">
        <w:rPr>
          <w:rFonts w:ascii="Times New Roman" w:hAnsi="Times New Roman" w:cs="Times New Roman"/>
          <w:bCs/>
          <w:iCs/>
          <w:sz w:val="24"/>
          <w:szCs w:val="24"/>
        </w:rPr>
        <w:fldChar w:fldCharType="begin"/>
      </w:r>
      <w:r w:rsidR="002B73AC">
        <w:rPr>
          <w:rFonts w:ascii="Times New Roman" w:hAnsi="Times New Roman" w:cs="Times New Roman"/>
          <w:bCs/>
          <w:iCs/>
          <w:sz w:val="24"/>
          <w:szCs w:val="24"/>
        </w:rPr>
        <w:instrText xml:space="preserve"> ADDIN ZOTERO_ITEM CSL_CITATION {"citationID":"oatttD3E","properties":{"custom":"(Jain et al., 2017)","formattedCitation":"(Jain et al., 2017)","plainCitation":"(Jain et al., 2017)","noteIndex":0},"citationItems":[{"id":304,"uris":["http://zotero.org/users/local/Ys1kvdNt/items/DP3XP4J7"],"itemData":{"id":304,"type":"article-journal","abstract":"Aim: A new analytical platform combining ultrasound assisted-dispersive liquid-liquid microextraction (US-DLLME) with thin layer chromatography (TLC)-image processing analysis has been proposed.","container-title":"Toxicology and Forensic Medicine - Open Journal","DOI":"10.17140/TFMOJ-2-113","ISSN":"24748978","issue":"1","journalAbbreviation":"Toxicol Forensic Med Open J","language":"en","page":"17-25","source":"DOI.org (Crossref)","title":"Coupling Microextraction With Thin Layer Chromatography-Image Processing Analysis: A New Analytical Platform for Drug Analysis","title-short":"Coupling Microextraction With Thin Layer Chromatography-Image Processing Analysis","volume":"2","author":[{"literal":"Forensic Toxicology Division, Central Forensic Science Laboratory, Ministry of Home Affairs, Government of India, Tetelia, Gotanagar, Guwahati 781033, Assam, India"},{"family":"Jain","given":"Rajeev"},{"family":"Singh","given":"Ritu"},{"literal":"Department of Environmental Science, School of Earth Sciences, Central University of Rajasthan, NH8, Bandarsindri, Kishangarh, Ajmer 305817, Rajasthan, India"},{"family":"Sudhaker","given":"S"},{"literal":"Forensic Toxicology Division, Central Forensic Science Laboratory, Ministry of Home Affairs, Government of India, Tetelia, Gotanagar, Guwahati 781033, Assam, India"},{"family":"Barik","given":"Ashok Kumar"},{"literal":"Document Division, Central Forensic Science Laboratory, Ministry of Home Affairs, Government of India, Tetelia, Gotanagar, Guwahati 781033, Assam, India"},{"family":"Kumar","given":"Sanjeet"},{"literal":"Forensic Chemistry Division, Central Forensic Science Laboratory, Ministry of Home Affairs, Government of India, Gorachand Road, Kolkata 700014, West Bengal, India"}],"issued":{"date-parts":[["2017",4,28]]}}}],"schema":"https://github.com/citation-style-language/schema/raw/master/csl-citation.json"} </w:instrText>
      </w:r>
      <w:r w:rsidR="007D4E03">
        <w:rPr>
          <w:rFonts w:ascii="Times New Roman" w:hAnsi="Times New Roman" w:cs="Times New Roman"/>
          <w:bCs/>
          <w:iCs/>
          <w:sz w:val="24"/>
          <w:szCs w:val="24"/>
        </w:rPr>
        <w:fldChar w:fldCharType="separate"/>
      </w:r>
      <w:r w:rsidR="002B73AC" w:rsidRPr="002B73AC">
        <w:rPr>
          <w:rFonts w:ascii="Times New Roman" w:hAnsi="Times New Roman" w:cs="Times New Roman"/>
          <w:sz w:val="24"/>
        </w:rPr>
        <w:t>(Jain et al., 2017)</w:t>
      </w:r>
      <w:r w:rsidR="007D4E03">
        <w:rPr>
          <w:rFonts w:ascii="Times New Roman" w:hAnsi="Times New Roman" w:cs="Times New Roman"/>
          <w:bCs/>
          <w:iCs/>
          <w:sz w:val="24"/>
          <w:szCs w:val="24"/>
        </w:rPr>
        <w:fldChar w:fldCharType="end"/>
      </w:r>
      <w:r w:rsidR="007D4E03">
        <w:rPr>
          <w:rFonts w:ascii="Times New Roman" w:hAnsi="Times New Roman" w:cs="Times New Roman"/>
          <w:bCs/>
          <w:iCs/>
          <w:sz w:val="24"/>
          <w:szCs w:val="24"/>
        </w:rPr>
        <w:t>; Siegel</w:t>
      </w:r>
      <w:r w:rsidR="00831D9A">
        <w:rPr>
          <w:rFonts w:ascii="Times New Roman" w:hAnsi="Times New Roman" w:cs="Times New Roman"/>
          <w:bCs/>
          <w:iCs/>
          <w:sz w:val="24"/>
          <w:szCs w:val="24"/>
        </w:rPr>
        <w:t>,</w:t>
      </w:r>
      <w:r w:rsidR="007D4E03">
        <w:rPr>
          <w:rFonts w:ascii="Times New Roman" w:hAnsi="Times New Roman" w:cs="Times New Roman"/>
          <w:bCs/>
          <w:iCs/>
          <w:sz w:val="24"/>
          <w:szCs w:val="24"/>
        </w:rPr>
        <w:t xml:space="preserve"> 2015) </w:t>
      </w:r>
      <w:r w:rsidR="002B57DF" w:rsidRPr="002B57DF">
        <w:rPr>
          <w:rFonts w:ascii="Times New Roman" w:hAnsi="Times New Roman" w:cs="Times New Roman"/>
          <w:sz w:val="24"/>
        </w:rPr>
        <w:t> </w:t>
      </w:r>
      <w:r w:rsidR="002B57DF">
        <w:rPr>
          <w:rFonts w:ascii="Times New Roman" w:hAnsi="Times New Roman" w:cs="Times New Roman"/>
          <w:bCs/>
          <w:iCs/>
          <w:sz w:val="24"/>
          <w:szCs w:val="24"/>
        </w:rPr>
        <w:fldChar w:fldCharType="end"/>
      </w:r>
      <w:r>
        <w:rPr>
          <w:rFonts w:ascii="Times New Roman" w:hAnsi="Times New Roman" w:cs="Times New Roman"/>
          <w:bCs/>
          <w:iCs/>
          <w:sz w:val="24"/>
          <w:szCs w:val="24"/>
        </w:rPr>
        <w:t xml:space="preserve">. </w:t>
      </w:r>
      <w:r w:rsidR="00590B68">
        <w:rPr>
          <w:rFonts w:ascii="Times New Roman" w:hAnsi="Times New Roman" w:cs="Times New Roman"/>
          <w:bCs/>
          <w:iCs/>
          <w:sz w:val="24"/>
          <w:szCs w:val="24"/>
        </w:rPr>
        <w:t xml:space="preserve">TLC remains invaluable for preliminary qualitative analysis, monitoring reaction progress, and purity assessment. </w:t>
      </w:r>
      <w:r w:rsidR="00590B68" w:rsidRPr="00590B68">
        <w:rPr>
          <w:rFonts w:ascii="Times New Roman" w:hAnsi="Times New Roman" w:cs="Times New Roman"/>
          <w:bCs/>
          <w:iCs/>
          <w:sz w:val="24"/>
          <w:szCs w:val="24"/>
        </w:rPr>
        <w:t>Its cost-effectiveness and minimal solvent use make it a preferred choice in resource-limited settings</w:t>
      </w:r>
      <w:r w:rsidR="007D4E03">
        <w:rPr>
          <w:rFonts w:ascii="Times New Roman" w:hAnsi="Times New Roman" w:cs="Times New Roman"/>
          <w:bCs/>
          <w:iCs/>
          <w:sz w:val="24"/>
          <w:szCs w:val="24"/>
        </w:rPr>
        <w:t xml:space="preserve"> (</w:t>
      </w:r>
      <w:r w:rsidR="007D4E03" w:rsidRPr="007D4E03">
        <w:rPr>
          <w:rFonts w:ascii="Times New Roman" w:hAnsi="Times New Roman" w:cs="Times New Roman"/>
          <w:bCs/>
          <w:sz w:val="24"/>
          <w:szCs w:val="24"/>
        </w:rPr>
        <w:t>Akash</w:t>
      </w:r>
      <w:r w:rsidR="007D4E03">
        <w:rPr>
          <w:rFonts w:ascii="Times New Roman" w:hAnsi="Times New Roman" w:cs="Times New Roman"/>
          <w:bCs/>
          <w:sz w:val="24"/>
          <w:szCs w:val="24"/>
        </w:rPr>
        <w:t xml:space="preserve"> et al., 2025</w:t>
      </w:r>
      <w:r w:rsidR="00831D9A">
        <w:rPr>
          <w:rFonts w:ascii="Times New Roman" w:hAnsi="Times New Roman" w:cs="Times New Roman"/>
          <w:bCs/>
          <w:sz w:val="24"/>
          <w:szCs w:val="24"/>
        </w:rPr>
        <w:t>; Siegel, 2015</w:t>
      </w:r>
      <w:r w:rsidR="007D4E03">
        <w:rPr>
          <w:rFonts w:ascii="Times New Roman" w:hAnsi="Times New Roman" w:cs="Times New Roman"/>
          <w:bCs/>
          <w:sz w:val="24"/>
          <w:szCs w:val="24"/>
        </w:rPr>
        <w:t>)</w:t>
      </w:r>
      <w:r w:rsidR="00590B68">
        <w:rPr>
          <w:rFonts w:ascii="Times New Roman" w:hAnsi="Times New Roman" w:cs="Times New Roman"/>
          <w:bCs/>
          <w:iCs/>
          <w:sz w:val="24"/>
          <w:szCs w:val="24"/>
        </w:rPr>
        <w:t>. To upscale the technique, we have combined TLC with image analysis using the ImageJ software to make it a detection technique</w:t>
      </w:r>
      <w:r w:rsidR="007D4E03">
        <w:rPr>
          <w:rFonts w:ascii="Times New Roman" w:hAnsi="Times New Roman" w:cs="Times New Roman"/>
          <w:bCs/>
          <w:iCs/>
          <w:sz w:val="24"/>
          <w:szCs w:val="24"/>
        </w:rPr>
        <w:t xml:space="preserve"> </w:t>
      </w:r>
      <w:r w:rsidR="007D4E03">
        <w:rPr>
          <w:rFonts w:ascii="Times New Roman" w:hAnsi="Times New Roman" w:cs="Times New Roman"/>
          <w:bCs/>
          <w:iCs/>
          <w:sz w:val="24"/>
          <w:szCs w:val="24"/>
        </w:rPr>
        <w:fldChar w:fldCharType="begin"/>
      </w:r>
      <w:r w:rsidR="002B73AC">
        <w:rPr>
          <w:rFonts w:ascii="Times New Roman" w:hAnsi="Times New Roman" w:cs="Times New Roman"/>
          <w:bCs/>
          <w:iCs/>
          <w:sz w:val="24"/>
          <w:szCs w:val="24"/>
        </w:rPr>
        <w:instrText xml:space="preserve"> ADDIN ZOTERO_ITEM CSL_CITATION {"citationID":"LutuhfPP","properties":{"custom":"(Jain et al., 2017)","formattedCitation":"(Jain et al., 2017)","plainCitation":"(Jain et al., 2017)","noteIndex":0},"citationItems":[{"id":304,"uris":["http://zotero.org/users/local/Ys1kvdNt/items/DP3XP4J7"],"itemData":{"id":304,"type":"article-journal","abstract":"Aim: A new analytical platform combining ultrasound assisted-dispersive liquid-liquid microextraction (US-DLLME) with thin layer chromatography (TLC)-image processing analysis has been proposed.","container-title":"Toxicology and Forensic Medicine - Open Journal","DOI":"10.17140/TFMOJ-2-113","ISSN":"24748978","issue":"1","journalAbbreviation":"Toxicol Forensic Med Open J","language":"en","page":"17-25","source":"DOI.org (Crossref)","title":"Coupling Microextraction With Thin Layer Chromatography-Image Processing Analysis: A New Analytical Platform for Drug Analysis","title-short":"Coupling Microextraction With Thin Layer Chromatography-Image Processing Analysis","volume":"2","author":[{"literal":"Forensic Toxicology Division, Central Forensic Science Laboratory, Ministry of Home Affairs, Government of India, Tetelia, Gotanagar, Guwahati 781033, Assam, India"},{"family":"Jain","given":"Rajeev"},{"family":"Singh","given":"Ritu"},{"literal":"Department of Environmental Science, School of Earth Sciences, Central University of Rajasthan, NH8, Bandarsindri, Kishangarh, Ajmer 305817, Rajasthan, India"},{"family":"Sudhaker","given":"S"},{"literal":"Forensic Toxicology Division, Central Forensic Science Laboratory, Ministry of Home Affairs, Government of India, Tetelia, Gotanagar, Guwahati 781033, Assam, India"},{"family":"Barik","given":"Ashok Kumar"},{"literal":"Document Division, Central Forensic Science Laboratory, Ministry of Home Affairs, Government of India, Tetelia, Gotanagar, Guwahati 781033, Assam, India"},{"family":"Kumar","given":"Sanjeet"},{"literal":"Forensic Chemistry Division, Central Forensic Science Laboratory, Ministry of Home Affairs, Government of India, Gorachand Road, Kolkata 700014, West Bengal, India"}],"issued":{"date-parts":[["2017",4,28]]}}}],"schema":"https://github.com/citation-style-language/schema/raw/master/csl-citation.json"} </w:instrText>
      </w:r>
      <w:r w:rsidR="007D4E03">
        <w:rPr>
          <w:rFonts w:ascii="Times New Roman" w:hAnsi="Times New Roman" w:cs="Times New Roman"/>
          <w:bCs/>
          <w:iCs/>
          <w:sz w:val="24"/>
          <w:szCs w:val="24"/>
        </w:rPr>
        <w:fldChar w:fldCharType="separate"/>
      </w:r>
      <w:r w:rsidR="002B73AC" w:rsidRPr="002B73AC">
        <w:rPr>
          <w:rFonts w:ascii="Times New Roman" w:hAnsi="Times New Roman" w:cs="Times New Roman"/>
          <w:sz w:val="24"/>
        </w:rPr>
        <w:t>(Jain et al., 2017)</w:t>
      </w:r>
      <w:r w:rsidR="007D4E03">
        <w:rPr>
          <w:rFonts w:ascii="Times New Roman" w:hAnsi="Times New Roman" w:cs="Times New Roman"/>
          <w:bCs/>
          <w:iCs/>
          <w:sz w:val="24"/>
          <w:szCs w:val="24"/>
        </w:rPr>
        <w:fldChar w:fldCharType="end"/>
      </w:r>
      <w:r w:rsidR="007D4E03">
        <w:rPr>
          <w:rFonts w:ascii="Times New Roman" w:hAnsi="Times New Roman" w:cs="Times New Roman"/>
          <w:bCs/>
          <w:iCs/>
          <w:sz w:val="24"/>
          <w:szCs w:val="24"/>
        </w:rPr>
        <w:t xml:space="preserve">; </w:t>
      </w:r>
      <w:r w:rsidR="007D4E03">
        <w:rPr>
          <w:rFonts w:ascii="Times New Roman" w:hAnsi="Times New Roman" w:cs="Times New Roman"/>
          <w:bCs/>
          <w:iCs/>
          <w:sz w:val="24"/>
          <w:szCs w:val="24"/>
        </w:rPr>
        <w:fldChar w:fldCharType="begin"/>
      </w:r>
      <w:r w:rsidR="002B73AC">
        <w:rPr>
          <w:rFonts w:ascii="Times New Roman" w:hAnsi="Times New Roman" w:cs="Times New Roman"/>
          <w:bCs/>
          <w:iCs/>
          <w:sz w:val="24"/>
          <w:szCs w:val="24"/>
        </w:rPr>
        <w:instrText xml:space="preserve"> ADDIN ZOTERO_ITEM CSL_CITATION {"citationID":"j67GIizG","properties":{"formattedCitation":"(Jain, 2018; Jain et al., 2020, 2021)","plainCitation":"(Jain, 2018; Jain et al., 2020, 2021)","noteIndex":0},"citationItems":[{"id":280,"uris":["http://zotero.org/users/local/Ys1kvdNt/items/XF6V96LS"],"itemData":{"id":280,"type":"article-journal","abstract":"A simple, rapid, cost-effective, and eco-friendly method is proposed for the simultaneous determination of some common overthe-counter drugs (aspirin, paracetamol, and caffeine [APC]) in saliva and pharmaceutical formulations based on the coupling of ultrasound-assisted emulsification microextraction (USEME) with thin-layer chromatography (TLC)‒image-processing analysis. The process involves the rapid injection of 65 µL of chloroform in diluted saliva samples (2 mL) followed by ultrasonication, which results in the formation of an emulsion. This solution is centrifuged, and 20 µL was spotted on TLC plate which was allowed to develop in mobile phase of ethyl acetate and acetic acid (95:5, v/v). The developed TLC plate was photographed, and the spots of APC were quantified by using the freely available ImageJ software (National Institute of Health [NIH], Bethesda, MD, USA). Factors which can influence the yield of USEME were screened using 27‒4 Placket–Burman design (PBD), and significant factors were optimized using central composite design (CCD). The recoveries and detection limits for all the analytes were found to be in the range of 89.2–94.1% and 0.007–0.012 mg spot−1, respectively. The assay was found to be linear in the range of 0.04–0.2 mg spot−1 with correlation of coefficient of 0.990–0.994. Intra- and inter-day precision for the assay were found to be in the range of 3.12–4.93% and 5.66–8.61%, respectively. The developed method does not require any special instrument and handling skill for the quantitative analysis of APC in saliva and pharmaceutical formulations.","container-title":"JPC - Journal of Planar Chromatography - Modern TLC","DOI":"10.1556/1006.2018.31.4.1","ISSN":"0933-4173, 1789-0993","issue":"4","journalAbbreviation":"JPC - Journal of Planar Chromatography - Modern TLC","language":"en","page":"265-271","source":"DOI.org (Crossref)","title":"Optimization of ultrasound-assisted emulsification microextraction by experimental design for determination of over-the-counter drugs by thin-layer chromatography–image-processing method","volume":"31","author":[{"family":"Jain","given":"Rajeev"}],"issued":{"date-parts":[["2018",8]]}}},{"id":323,"uris":["http://zotero.org/users/local/Ys1kvdNt/items/TUX5CWKX"],"itemData":{"id":323,"type":"article-journal","abstract":"A simple, rapid, cost-effective and green analytical method is developed based on ultrasoundassisted dispersive liquid–liquid microextraction (US-DLLME) coupled to thin-layer chromatography (TLC)-image analysis for the simultaneous determination of two major alkaloids of Strychnos nux-vomica L i.e., strychnine and brucine. The method is composed of three steps, namely (i) US-DLLME by injecting a mixture of 100-μL chloroform (extraction solvent) and 1-mL methanol (disperser solvent) in 5 mL of aqueous sample, followed by ultrasonication and centrifugation, (ii) TLC of 20 μL of sedimented phase with methanol: ammonia (100:1.5, v/v) as the mobile phase and visualization under ultraviolet radiation (254 nm) and (iii) photography of TLC plate and quantiﬁcation of spots by image analysis using freely available imageJ software (National Institute of Health, Bethesda, MD, USA). The limit of detection and limit of quantiﬁcation for both alkaloids were found to be in the range of 0.12–0.15 and 0.36–0.48 μg/spot, respectively. The method was found to be linear in the range of 0.5–5 μg/spot with correlation coefﬁcient (R2) of 0.995 and 0.997 for strychnine and brucine, respectively. The developed method was successfully applied for the determination of strychnine and brucine in Ayurvedic formulations and blood samples. The method does not require any sophisticated instrument and handling skills and can be adopted for rapid analysis of strychnine and brucine in forensic toxicological laboratories.","container-title":"Journal of Chromatographic Science","DOI":"10.1093/chromsci/bmaa007","ISSN":"0021-9665, 1945-239X","issue":"5","language":"en","license":"https://academic.oup.com/journals/pages/open_access/funder_policies/chorus/standard_publication_model","page":"477-484","source":"DOI.org (Crossref)","title":"A simple, cost-effective and rapid method for simultaneous determination of Strychnos nux-vomica alkaloids in blood and Ayurvedic medicines based on ultrasound-assisted dispersive liquid–liquid microextraction–thin-layer chromatography-image analysis","volume":"58","author":[{"family":"Jain","given":"Rajeev"},{"family":"Tripathi","given":"Rohitashva Mani"},{"family":"Negi","given":"Archna"},{"family":"Singh","given":"Shishir Pratap"}],"issued":{"date-parts":[["2020",4,25]]}}},{"id":302,"uris":["http://zotero.org/users/local/Ys1kvdNt/items/EEPNCZ82"],"itemData":{"id":302,"type":"article-journal","container-title":"Microchemical Journal","DOI":"10.1016/j.microc.2020.105870","ISSN":"0026265X","journalAbbreviation":"Microchemical Journal","language":"en","page":"105870","source":"DOI.org (Crossref)","title":"Dispersive liquid-liquid microextraction combined with digital image colorimetry for paracetamol analysis","volume":"162","author":[{"family":"Jain","given":"Rajeev"},{"family":"Jha","given":"Rakesh Roshan"},{"family":"Kumari","given":"Aparna"},{"family":"Khatri","given":"Indu"}],"issued":{"date-parts":[["2021",3]]}}}],"schema":"https://github.com/citation-style-language/schema/raw/master/csl-citation.json"} </w:instrText>
      </w:r>
      <w:r w:rsidR="007D4E03">
        <w:rPr>
          <w:rFonts w:ascii="Times New Roman" w:hAnsi="Times New Roman" w:cs="Times New Roman"/>
          <w:bCs/>
          <w:iCs/>
          <w:sz w:val="24"/>
          <w:szCs w:val="24"/>
        </w:rPr>
        <w:fldChar w:fldCharType="separate"/>
      </w:r>
      <w:r w:rsidR="002B73AC" w:rsidRPr="002B73AC">
        <w:rPr>
          <w:rFonts w:ascii="Times New Roman" w:hAnsi="Times New Roman" w:cs="Times New Roman"/>
          <w:sz w:val="24"/>
        </w:rPr>
        <w:t>(Jain, 2018; Jain et al., 2020, 2021)</w:t>
      </w:r>
      <w:r w:rsidR="007D4E03">
        <w:rPr>
          <w:rFonts w:ascii="Times New Roman" w:hAnsi="Times New Roman" w:cs="Times New Roman"/>
          <w:bCs/>
          <w:iCs/>
          <w:sz w:val="24"/>
          <w:szCs w:val="24"/>
        </w:rPr>
        <w:fldChar w:fldCharType="end"/>
      </w:r>
      <w:r w:rsidR="00590B68">
        <w:rPr>
          <w:rFonts w:ascii="Times New Roman" w:hAnsi="Times New Roman" w:cs="Times New Roman"/>
          <w:bCs/>
          <w:iCs/>
          <w:sz w:val="24"/>
          <w:szCs w:val="24"/>
        </w:rPr>
        <w:t xml:space="preserve">. </w:t>
      </w:r>
      <w:r w:rsidR="00590B68" w:rsidRPr="00590B68">
        <w:rPr>
          <w:rFonts w:ascii="Times New Roman" w:hAnsi="Times New Roman" w:cs="Times New Roman"/>
          <w:bCs/>
          <w:iCs/>
          <w:sz w:val="24"/>
          <w:szCs w:val="24"/>
        </w:rPr>
        <w:t>Traditional TLC detection often relies on visual inspection or densitometry, which can be subjective and limited in precision. ImageJ offers a way to digitize TLC plates through high-resolution scanning or photography, enabling objective, reproducible analysis of spot intensities and areas</w:t>
      </w:r>
      <w:r w:rsidR="007D4E03">
        <w:rPr>
          <w:rFonts w:ascii="Times New Roman" w:hAnsi="Times New Roman" w:cs="Times New Roman"/>
          <w:bCs/>
          <w:iCs/>
          <w:sz w:val="24"/>
          <w:szCs w:val="24"/>
        </w:rPr>
        <w:t xml:space="preserve"> </w:t>
      </w:r>
      <w:r w:rsidR="007D4E03">
        <w:rPr>
          <w:rFonts w:ascii="Times New Roman" w:hAnsi="Times New Roman" w:cs="Times New Roman"/>
          <w:bCs/>
          <w:iCs/>
          <w:sz w:val="24"/>
          <w:szCs w:val="24"/>
        </w:rPr>
        <w:fldChar w:fldCharType="begin"/>
      </w:r>
      <w:r w:rsidR="002B73AC">
        <w:rPr>
          <w:rFonts w:ascii="Times New Roman" w:hAnsi="Times New Roman" w:cs="Times New Roman"/>
          <w:bCs/>
          <w:iCs/>
          <w:sz w:val="24"/>
          <w:szCs w:val="24"/>
        </w:rPr>
        <w:instrText xml:space="preserve"> ADDIN ZOTERO_ITEM CSL_CITATION {"citationID":"2Zmj09cp","properties":{"custom":"(Jain et al., 2017)","formattedCitation":"(Jain et al., 2017)","plainCitation":"(Jain et al., 2017)","noteIndex":0},"citationItems":[{"id":304,"uris":["http://zotero.org/users/local/Ys1kvdNt/items/DP3XP4J7"],"itemData":{"id":304,"type":"article-journal","abstract":"Aim: A new analytical platform combining ultrasound assisted-dispersive liquid-liquid microextraction (US-DLLME) with thin layer chromatography (TLC)-image processing analysis has been proposed.","container-title":"Toxicology and Forensic Medicine - Open Journal","DOI":"10.17140/TFMOJ-2-113","ISSN":"24748978","issue":"1","journalAbbreviation":"Toxicol Forensic Med Open J","language":"en","page":"17-25","source":"DOI.org (Crossref)","title":"Coupling Microextraction With Thin Layer Chromatography-Image Processing Analysis: A New Analytical Platform for Drug Analysis","title-short":"Coupling Microextraction With Thin Layer Chromatography-Image Processing Analysis","volume":"2","author":[{"literal":"Forensic Toxicology Division, Central Forensic Science Laboratory, Ministry of Home Affairs, Government of India, Tetelia, Gotanagar, Guwahati 781033, Assam, India"},{"family":"Jain","given":"Rajeev"},{"family":"Singh","given":"Ritu"},{"literal":"Department of Environmental Science, School of Earth Sciences, Central University of Rajasthan, NH8, Bandarsindri, Kishangarh, Ajmer 305817, Rajasthan, India"},{"family":"Sudhaker","given":"S"},{"literal":"Forensic Toxicology Division, Central Forensic Science Laboratory, Ministry of Home Affairs, Government of India, Tetelia, Gotanagar, Guwahati 781033, Assam, India"},{"family":"Barik","given":"Ashok Kumar"},{"literal":"Document Division, Central Forensic Science Laboratory, Ministry of Home Affairs, Government of India, Tetelia, Gotanagar, Guwahati 781033, Assam, India"},{"family":"Kumar","given":"Sanjeet"},{"literal":"Forensic Chemistry Division, Central Forensic Science Laboratory, Ministry of Home Affairs, Government of India, Gorachand Road, Kolkata 700014, West Bengal, India"}],"issued":{"date-parts":[["2017",4,28]]}}}],"schema":"https://github.com/citation-style-language/schema/raw/master/csl-citation.json"} </w:instrText>
      </w:r>
      <w:r w:rsidR="007D4E03">
        <w:rPr>
          <w:rFonts w:ascii="Times New Roman" w:hAnsi="Times New Roman" w:cs="Times New Roman"/>
          <w:bCs/>
          <w:iCs/>
          <w:sz w:val="24"/>
          <w:szCs w:val="24"/>
        </w:rPr>
        <w:fldChar w:fldCharType="separate"/>
      </w:r>
      <w:r w:rsidR="002B73AC" w:rsidRPr="002B73AC">
        <w:rPr>
          <w:rFonts w:ascii="Times New Roman" w:hAnsi="Times New Roman" w:cs="Times New Roman"/>
          <w:sz w:val="24"/>
        </w:rPr>
        <w:t>(Jain et al., 2017)</w:t>
      </w:r>
      <w:r w:rsidR="007D4E03">
        <w:rPr>
          <w:rFonts w:ascii="Times New Roman" w:hAnsi="Times New Roman" w:cs="Times New Roman"/>
          <w:bCs/>
          <w:iCs/>
          <w:sz w:val="24"/>
          <w:szCs w:val="24"/>
        </w:rPr>
        <w:fldChar w:fldCharType="end"/>
      </w:r>
      <w:r w:rsidR="007D4E03">
        <w:rPr>
          <w:rFonts w:ascii="Times New Roman" w:hAnsi="Times New Roman" w:cs="Times New Roman"/>
          <w:bCs/>
          <w:iCs/>
          <w:sz w:val="24"/>
          <w:szCs w:val="24"/>
        </w:rPr>
        <w:t xml:space="preserve">; </w:t>
      </w:r>
      <w:r w:rsidR="007D4E03">
        <w:rPr>
          <w:rFonts w:ascii="Times New Roman" w:hAnsi="Times New Roman" w:cs="Times New Roman"/>
          <w:bCs/>
          <w:iCs/>
          <w:sz w:val="24"/>
          <w:szCs w:val="24"/>
        </w:rPr>
        <w:fldChar w:fldCharType="begin"/>
      </w:r>
      <w:r w:rsidR="002B73AC">
        <w:rPr>
          <w:rFonts w:ascii="Times New Roman" w:hAnsi="Times New Roman" w:cs="Times New Roman"/>
          <w:bCs/>
          <w:iCs/>
          <w:sz w:val="24"/>
          <w:szCs w:val="24"/>
        </w:rPr>
        <w:instrText xml:space="preserve"> ADDIN ZOTERO_ITEM CSL_CITATION {"citationID":"FzCEkRNm","properties":{"formattedCitation":"(Jain, 2018; Jain et al., 2020, 2021)","plainCitation":"(Jain, 2018; Jain et al., 2020, 2021)","noteIndex":0},"citationItems":[{"id":280,"uris":["http://zotero.org/users/local/Ys1kvdNt/items/XF6V96LS"],"itemData":{"id":280,"type":"article-journal","abstract":"A simple, rapid, cost-effective, and eco-friendly method is proposed for the simultaneous determination of some common overthe-counter drugs (aspirin, paracetamol, and caffeine [APC]) in saliva and pharmaceutical formulations based on the coupling of ultrasound-assisted emulsification microextraction (USEME) with thin-layer chromatography (TLC)‒image-processing analysis. The process involves the rapid injection of 65 µL of chloroform in diluted saliva samples (2 mL) followed by ultrasonication, which results in the formation of an emulsion. This solution is centrifuged, and 20 µL was spotted on TLC plate which was allowed to develop in mobile phase of ethyl acetate and acetic acid (95:5, v/v). The developed TLC plate was photographed, and the spots of APC were quantified by using the freely available ImageJ software (National Institute of Health [NIH], Bethesda, MD, USA). Factors which can influence the yield of USEME were screened using 27‒4 Placket–Burman design (PBD), and significant factors were optimized using central composite design (CCD). The recoveries and detection limits for all the analytes were found to be in the range of 89.2–94.1% and 0.007–0.012 mg spot−1, respectively. The assay was found to be linear in the range of 0.04–0.2 mg spot−1 with correlation of coefficient of 0.990–0.994. Intra- and inter-day precision for the assay were found to be in the range of 3.12–4.93% and 5.66–8.61%, respectively. The developed method does not require any special instrument and handling skill for the quantitative analysis of APC in saliva and pharmaceutical formulations.","container-title":"JPC - Journal of Planar Chromatography - Modern TLC","DOI":"10.1556/1006.2018.31.4.1","ISSN":"0933-4173, 1789-0993","issue":"4","journalAbbreviation":"JPC - Journal of Planar Chromatography - Modern TLC","language":"en","page":"265-271","source":"DOI.org (Crossref)","title":"Optimization of ultrasound-assisted emulsification microextraction by experimental design for determination of over-the-counter drugs by thin-layer chromatography–image-processing method","volume":"31","author":[{"family":"Jain","given":"Rajeev"}],"issued":{"date-parts":[["2018",8]]}}},{"id":323,"uris":["http://zotero.org/users/local/Ys1kvdNt/items/TUX5CWKX"],"itemData":{"id":323,"type":"article-journal","abstract":"A simple, rapid, cost-effective and green analytical method is developed based on ultrasoundassisted dispersive liquid–liquid microextraction (US-DLLME) coupled to thin-layer chromatography (TLC)-image analysis for the simultaneous determination of two major alkaloids of Strychnos nux-vomica L i.e., strychnine and brucine. The method is composed of three steps, namely (i) US-DLLME by injecting a mixture of 100-μL chloroform (extraction solvent) and 1-mL methanol (disperser solvent) in 5 mL of aqueous sample, followed by ultrasonication and centrifugation, (ii) TLC of 20 μL of sedimented phase with methanol: ammonia (100:1.5, v/v) as the mobile phase and visualization under ultraviolet radiation (254 nm) and (iii) photography of TLC plate and quantiﬁcation of spots by image analysis using freely available imageJ software (National Institute of Health, Bethesda, MD, USA). The limit of detection and limit of quantiﬁcation for both alkaloids were found to be in the range of 0.12–0.15 and 0.36–0.48 μg/spot, respectively. The method was found to be linear in the range of 0.5–5 μg/spot with correlation coefﬁcient (R2) of 0.995 and 0.997 for strychnine and brucine, respectively. The developed method was successfully applied for the determination of strychnine and brucine in Ayurvedic formulations and blood samples. The method does not require any sophisticated instrument and handling skills and can be adopted for rapid analysis of strychnine and brucine in forensic toxicological laboratories.","container-title":"Journal of Chromatographic Science","DOI":"10.1093/chromsci/bmaa007","ISSN":"0021-9665, 1945-239X","issue":"5","language":"en","license":"https://academic.oup.com/journals/pages/open_access/funder_policies/chorus/standard_publication_model","page":"477-484","source":"DOI.org (Crossref)","title":"A simple, cost-effective and rapid method for simultaneous determination of Strychnos nux-vomica alkaloids in blood and Ayurvedic medicines based on ultrasound-assisted dispersive liquid–liquid microextraction–thin-layer chromatography-image analysis","volume":"58","author":[{"family":"Jain","given":"Rajeev"},{"family":"Tripathi","given":"Rohitashva Mani"},{"family":"Negi","given":"Archna"},{"family":"Singh","given":"Shishir Pratap"}],"issued":{"date-parts":[["2020",4,25]]}}},{"id":302,"uris":["http://zotero.org/users/local/Ys1kvdNt/items/EEPNCZ82"],"itemData":{"id":302,"type":"article-journal","container-title":"Microchemical Journal","DOI":"10.1016/j.microc.2020.105870","ISSN":"0026265X","journalAbbreviation":"Microchemical Journal","language":"en","page":"105870","source":"DOI.org (Crossref)","title":"Dispersive liquid-liquid microextraction combined with digital image colorimetry for paracetamol analysis","volume":"162","author":[{"family":"Jain","given":"Rajeev"},{"family":"Jha","given":"Rakesh Roshan"},{"family":"Kumari","given":"Aparna"},{"family":"Khatri","given":"Indu"}],"issued":{"date-parts":[["2021",3]]}}}],"schema":"https://github.com/citation-style-language/schema/raw/master/csl-citation.json"} </w:instrText>
      </w:r>
      <w:r w:rsidR="007D4E03">
        <w:rPr>
          <w:rFonts w:ascii="Times New Roman" w:hAnsi="Times New Roman" w:cs="Times New Roman"/>
          <w:bCs/>
          <w:iCs/>
          <w:sz w:val="24"/>
          <w:szCs w:val="24"/>
        </w:rPr>
        <w:fldChar w:fldCharType="separate"/>
      </w:r>
      <w:r w:rsidR="002B73AC" w:rsidRPr="002B73AC">
        <w:rPr>
          <w:rFonts w:ascii="Times New Roman" w:hAnsi="Times New Roman" w:cs="Times New Roman"/>
          <w:sz w:val="24"/>
        </w:rPr>
        <w:t>(Jain, 2018; Jain et al., 2020, 2021)</w:t>
      </w:r>
      <w:r w:rsidR="007D4E03">
        <w:rPr>
          <w:rFonts w:ascii="Times New Roman" w:hAnsi="Times New Roman" w:cs="Times New Roman"/>
          <w:bCs/>
          <w:iCs/>
          <w:sz w:val="24"/>
          <w:szCs w:val="24"/>
        </w:rPr>
        <w:fldChar w:fldCharType="end"/>
      </w:r>
      <w:r w:rsidR="00590B68" w:rsidRPr="00590B68">
        <w:rPr>
          <w:rFonts w:ascii="Times New Roman" w:hAnsi="Times New Roman" w:cs="Times New Roman"/>
          <w:bCs/>
          <w:iCs/>
          <w:sz w:val="24"/>
          <w:szCs w:val="24"/>
        </w:rPr>
        <w:t>. This digital approach enhances sensitivity and allows quantification of compounds even at low concentrations</w:t>
      </w:r>
      <w:r w:rsidR="007D4E03">
        <w:rPr>
          <w:rFonts w:ascii="Times New Roman" w:hAnsi="Times New Roman" w:cs="Times New Roman"/>
          <w:bCs/>
          <w:iCs/>
          <w:sz w:val="24"/>
          <w:szCs w:val="24"/>
        </w:rPr>
        <w:t xml:space="preserve"> </w:t>
      </w:r>
      <w:r w:rsidR="007D4E03">
        <w:rPr>
          <w:rFonts w:ascii="Times New Roman" w:hAnsi="Times New Roman" w:cs="Times New Roman"/>
          <w:bCs/>
          <w:iCs/>
          <w:sz w:val="24"/>
          <w:szCs w:val="24"/>
        </w:rPr>
        <w:fldChar w:fldCharType="begin"/>
      </w:r>
      <w:r w:rsidR="002B73AC">
        <w:rPr>
          <w:rFonts w:ascii="Times New Roman" w:hAnsi="Times New Roman" w:cs="Times New Roman"/>
          <w:bCs/>
          <w:iCs/>
          <w:sz w:val="24"/>
          <w:szCs w:val="24"/>
        </w:rPr>
        <w:instrText xml:space="preserve"> ADDIN ZOTERO_ITEM CSL_CITATION {"citationID":"5ganII4G","properties":{"custom":"(Jain et al., 2017)","formattedCitation":"(Jain et al., 2017)","plainCitation":"(Jain et al., 2017)","noteIndex":0},"citationItems":[{"id":304,"uris":["http://zotero.org/users/local/Ys1kvdNt/items/DP3XP4J7"],"itemData":{"id":304,"type":"article-journal","abstract":"Aim: A new analytical platform combining ultrasound assisted-dispersive liquid-liquid microextraction (US-DLLME) with thin layer chromatography (TLC)-image processing analysis has been proposed.","container-title":"Toxicology and Forensic Medicine - Open Journal","DOI":"10.17140/TFMOJ-2-113","ISSN":"24748978","issue":"1","journalAbbreviation":"Toxicol Forensic Med Open J","language":"en","page":"17-25","source":"DOI.org (Crossref)","title":"Coupling Microextraction With Thin Layer Chromatography-Image Processing Analysis: A New Analytical Platform for Drug Analysis","title-short":"Coupling Microextraction With Thin Layer Chromatography-Image Processing Analysis","volume":"2","author":[{"literal":"Forensic Toxicology Division, Central Forensic Science Laboratory, Ministry of Home Affairs, Government of India, Tetelia, Gotanagar, Guwahati 781033, Assam, India"},{"family":"Jain","given":"Rajeev"},{"family":"Singh","given":"Ritu"},{"literal":"Department of Environmental Science, School of Earth Sciences, Central University of Rajasthan, NH8, Bandarsindri, Kishangarh, Ajmer 305817, Rajasthan, India"},{"family":"Sudhaker","given":"S"},{"literal":"Forensic Toxicology Division, Central Forensic Science Laboratory, Ministry of Home Affairs, Government of India, Tetelia, Gotanagar, Guwahati 781033, Assam, India"},{"family":"Barik","given":"Ashok Kumar"},{"literal":"Document Division, Central Forensic Science Laboratory, Ministry of Home Affairs, Government of India, Tetelia, Gotanagar, Guwahati 781033, Assam, India"},{"family":"Kumar","given":"Sanjeet"},{"literal":"Forensic Chemistry Division, Central Forensic Science Laboratory, Ministry of Home Affairs, Government of India, Gorachand Road, Kolkata 700014, West Bengal, India"}],"issued":{"date-parts":[["2017",4,28]]}}}],"schema":"https://github.com/citation-style-language/schema/raw/master/csl-citation.json"} </w:instrText>
      </w:r>
      <w:r w:rsidR="007D4E03">
        <w:rPr>
          <w:rFonts w:ascii="Times New Roman" w:hAnsi="Times New Roman" w:cs="Times New Roman"/>
          <w:bCs/>
          <w:iCs/>
          <w:sz w:val="24"/>
          <w:szCs w:val="24"/>
        </w:rPr>
        <w:fldChar w:fldCharType="separate"/>
      </w:r>
      <w:r w:rsidR="002B73AC" w:rsidRPr="002B73AC">
        <w:rPr>
          <w:rFonts w:ascii="Times New Roman" w:hAnsi="Times New Roman" w:cs="Times New Roman"/>
          <w:sz w:val="24"/>
        </w:rPr>
        <w:t>(Jain et al., 2017)</w:t>
      </w:r>
      <w:r w:rsidR="007D4E03">
        <w:rPr>
          <w:rFonts w:ascii="Times New Roman" w:hAnsi="Times New Roman" w:cs="Times New Roman"/>
          <w:bCs/>
          <w:iCs/>
          <w:sz w:val="24"/>
          <w:szCs w:val="24"/>
        </w:rPr>
        <w:fldChar w:fldCharType="end"/>
      </w:r>
      <w:r w:rsidR="007D4E03">
        <w:rPr>
          <w:rFonts w:ascii="Times New Roman" w:hAnsi="Times New Roman" w:cs="Times New Roman"/>
          <w:bCs/>
          <w:iCs/>
          <w:sz w:val="24"/>
          <w:szCs w:val="24"/>
        </w:rPr>
        <w:t xml:space="preserve">; </w:t>
      </w:r>
      <w:r w:rsidR="007D4E03">
        <w:rPr>
          <w:rFonts w:ascii="Times New Roman" w:hAnsi="Times New Roman" w:cs="Times New Roman"/>
          <w:bCs/>
          <w:iCs/>
          <w:sz w:val="24"/>
          <w:szCs w:val="24"/>
        </w:rPr>
        <w:fldChar w:fldCharType="begin"/>
      </w:r>
      <w:r w:rsidR="002B73AC">
        <w:rPr>
          <w:rFonts w:ascii="Times New Roman" w:hAnsi="Times New Roman" w:cs="Times New Roman"/>
          <w:bCs/>
          <w:iCs/>
          <w:sz w:val="24"/>
          <w:szCs w:val="24"/>
        </w:rPr>
        <w:instrText xml:space="preserve"> ADDIN ZOTERO_ITEM CSL_CITATION {"citationID":"mMGlaz6w","properties":{"formattedCitation":"(Jain, 2018; Jain et al., 2020, 2021)","plainCitation":"(Jain, 2018; Jain et al., 2020, 2021)","noteIndex":0},"citationItems":[{"id":280,"uris":["http://zotero.org/users/local/Ys1kvdNt/items/XF6V96LS"],"itemData":{"id":280,"type":"article-journal","abstract":"A simple, rapid, cost-effective, and eco-friendly method is proposed for the simultaneous determination of some common overthe-counter drugs (aspirin, paracetamol, and caffeine [APC]) in saliva and pharmaceutical formulations based on the coupling of ultrasound-assisted emulsification microextraction (USEME) with thin-layer chromatography (TLC)‒image-processing analysis. The process involves the rapid injection of 65 µL of chloroform in diluted saliva samples (2 mL) followed by ultrasonication, which results in the formation of an emulsion. This solution is centrifuged, and 20 µL was spotted on TLC plate which was allowed to develop in mobile phase of ethyl acetate and acetic acid (95:5, v/v). The developed TLC plate was photographed, and the spots of APC were quantified by using the freely available ImageJ software (National Institute of Health [NIH], Bethesda, MD, USA). Factors which can influence the yield of USEME were screened using 27‒4 Placket–Burman design (PBD), and significant factors were optimized using central composite design (CCD). The recoveries and detection limits for all the analytes were found to be in the range of 89.2–94.1% and 0.007–0.012 mg spot−1, respectively. The assay was found to be linear in the range of 0.04–0.2 mg spot−1 with correlation of coefficient of 0.990–0.994. Intra- and inter-day precision for the assay were found to be in the range of 3.12–4.93% and 5.66–8.61%, respectively. The developed method does not require any special instrument and handling skill for the quantitative analysis of APC in saliva and pharmaceutical formulations.","container-title":"JPC - Journal of Planar Chromatography - Modern TLC","DOI":"10.1556/1006.2018.31.4.1","ISSN":"0933-4173, 1789-0993","issue":"4","journalAbbreviation":"JPC - Journal of Planar Chromatography - Modern TLC","language":"en","page":"265-271","source":"DOI.org (Crossref)","title":"Optimization of ultrasound-assisted emulsification microextraction by experimental design for determination of over-the-counter drugs by thin-layer chromatography–image-processing method","volume":"31","author":[{"family":"Jain","given":"Rajeev"}],"issued":{"date-parts":[["2018",8]]}}},{"id":323,"uris":["http://zotero.org/users/local/Ys1kvdNt/items/TUX5CWKX"],"itemData":{"id":323,"type":"article-journal","abstract":"A simple, rapid, cost-effective and green analytical method is developed based on ultrasoundassisted dispersive liquid–liquid microextraction (US-DLLME) coupled to thin-layer chromatography (TLC)-image analysis for the simultaneous determination of two major alkaloids of Strychnos nux-vomica L i.e., strychnine and brucine. The method is composed of three steps, namely (i) US-DLLME by injecting a mixture of 100-μL chloroform (extraction solvent) and 1-mL methanol (disperser solvent) in 5 mL of aqueous sample, followed by ultrasonication and centrifugation, (ii) TLC of 20 μL of sedimented phase with methanol: ammonia (100:1.5, v/v) as the mobile phase and visualization under ultraviolet radiation (254 nm) and (iii) photography of TLC plate and quantiﬁcation of spots by image analysis using freely available imageJ software (National Institute of Health, Bethesda, MD, USA). The limit of detection and limit of quantiﬁcation for both alkaloids were found to be in the range of 0.12–0.15 and 0.36–0.48 μg/spot, respectively. The method was found to be linear in the range of 0.5–5 μg/spot with correlation coefﬁcient (R2) of 0.995 and 0.997 for strychnine and brucine, respectively. The developed method was successfully applied for the determination of strychnine and brucine in Ayurvedic formulations and blood samples. The method does not require any sophisticated instrument and handling skills and can be adopted for rapid analysis of strychnine and brucine in forensic toxicological laboratories.","container-title":"Journal of Chromatographic Science","DOI":"10.1093/chromsci/bmaa007","ISSN":"0021-9665, 1945-239X","issue":"5","language":"en","license":"https://academic.oup.com/journals/pages/open_access/funder_policies/chorus/standard_publication_model","page":"477-484","source":"DOI.org (Crossref)","title":"A simple, cost-effective and rapid method for simultaneous determination of Strychnos nux-vomica alkaloids in blood and Ayurvedic medicines based on ultrasound-assisted dispersive liquid–liquid microextraction–thin-layer chromatography-image analysis","volume":"58","author":[{"family":"Jain","given":"Rajeev"},{"family":"Tripathi","given":"Rohitashva Mani"},{"family":"Negi","given":"Archna"},{"family":"Singh","given":"Shishir Pratap"}],"issued":{"date-parts":[["2020",4,25]]}}},{"id":302,"uris":["http://zotero.org/users/local/Ys1kvdNt/items/EEPNCZ82"],"itemData":{"id":302,"type":"article-journal","container-title":"Microchemical Journal","DOI":"10.1016/j.microc.2020.105870","ISSN":"0026265X","journalAbbreviation":"Microchemical Journal","language":"en","page":"105870","source":"DOI.org (Crossref)","title":"Dispersive liquid-liquid microextraction combined with digital image colorimetry for paracetamol analysis","volume":"162","author":[{"family":"Jain","given":"Rajeev"},{"family":"Jha","given":"Rakesh Roshan"},{"family":"Kumari","given":"Aparna"},{"family":"Khatri","given":"Indu"}],"issued":{"date-parts":[["2021",3]]}}}],"schema":"https://github.com/citation-style-language/schema/raw/master/csl-citation.json"} </w:instrText>
      </w:r>
      <w:r w:rsidR="007D4E03">
        <w:rPr>
          <w:rFonts w:ascii="Times New Roman" w:hAnsi="Times New Roman" w:cs="Times New Roman"/>
          <w:bCs/>
          <w:iCs/>
          <w:sz w:val="24"/>
          <w:szCs w:val="24"/>
        </w:rPr>
        <w:fldChar w:fldCharType="separate"/>
      </w:r>
      <w:r w:rsidR="002B73AC" w:rsidRPr="002B73AC">
        <w:rPr>
          <w:rFonts w:ascii="Times New Roman" w:hAnsi="Times New Roman" w:cs="Times New Roman"/>
          <w:sz w:val="24"/>
        </w:rPr>
        <w:t>(Jain, 2018; Jain et al., 2020, 2021)</w:t>
      </w:r>
      <w:r w:rsidR="007D4E03">
        <w:rPr>
          <w:rFonts w:ascii="Times New Roman" w:hAnsi="Times New Roman" w:cs="Times New Roman"/>
          <w:bCs/>
          <w:iCs/>
          <w:sz w:val="24"/>
          <w:szCs w:val="24"/>
        </w:rPr>
        <w:fldChar w:fldCharType="end"/>
      </w:r>
      <w:r w:rsidR="00590B68" w:rsidRPr="00590B68">
        <w:rPr>
          <w:rFonts w:ascii="Times New Roman" w:hAnsi="Times New Roman" w:cs="Times New Roman"/>
          <w:bCs/>
          <w:iCs/>
          <w:sz w:val="24"/>
          <w:szCs w:val="24"/>
        </w:rPr>
        <w:t>.</w:t>
      </w:r>
      <w:r w:rsidR="00590B68">
        <w:rPr>
          <w:rFonts w:ascii="Times New Roman" w:hAnsi="Times New Roman" w:cs="Times New Roman"/>
          <w:bCs/>
          <w:iCs/>
          <w:sz w:val="24"/>
          <w:szCs w:val="24"/>
        </w:rPr>
        <w:t xml:space="preserve"> </w:t>
      </w:r>
      <w:r w:rsidR="00590B68" w:rsidRPr="00590B68">
        <w:rPr>
          <w:rFonts w:ascii="Times New Roman" w:hAnsi="Times New Roman" w:cs="Times New Roman"/>
          <w:bCs/>
          <w:iCs/>
          <w:sz w:val="24"/>
          <w:szCs w:val="24"/>
        </w:rPr>
        <w:t>Researchers have demonstrated that</w:t>
      </w:r>
      <w:r w:rsidR="007A7AA2">
        <w:rPr>
          <w:rFonts w:ascii="Times New Roman" w:hAnsi="Times New Roman" w:cs="Times New Roman"/>
          <w:bCs/>
          <w:iCs/>
          <w:sz w:val="24"/>
          <w:szCs w:val="24"/>
        </w:rPr>
        <w:t>, with proper calibration and image processing, ImageJ can accurately measure spot intensity and size, with results that correlate</w:t>
      </w:r>
      <w:r w:rsidR="00590B68" w:rsidRPr="00590B68">
        <w:rPr>
          <w:rFonts w:ascii="Times New Roman" w:hAnsi="Times New Roman" w:cs="Times New Roman"/>
          <w:bCs/>
          <w:iCs/>
          <w:sz w:val="24"/>
          <w:szCs w:val="24"/>
        </w:rPr>
        <w:t xml:space="preserve"> well with compound concentration</w:t>
      </w:r>
      <w:r w:rsidR="007D4E03">
        <w:rPr>
          <w:rFonts w:ascii="Times New Roman" w:hAnsi="Times New Roman" w:cs="Times New Roman"/>
          <w:bCs/>
          <w:iCs/>
          <w:sz w:val="24"/>
          <w:szCs w:val="24"/>
        </w:rPr>
        <w:t xml:space="preserve"> </w:t>
      </w:r>
      <w:r w:rsidR="007D4E03">
        <w:rPr>
          <w:rFonts w:ascii="Times New Roman" w:hAnsi="Times New Roman" w:cs="Times New Roman"/>
          <w:bCs/>
          <w:iCs/>
          <w:sz w:val="24"/>
          <w:szCs w:val="24"/>
        </w:rPr>
        <w:fldChar w:fldCharType="begin"/>
      </w:r>
      <w:r w:rsidR="002B73AC">
        <w:rPr>
          <w:rFonts w:ascii="Times New Roman" w:hAnsi="Times New Roman" w:cs="Times New Roman"/>
          <w:bCs/>
          <w:iCs/>
          <w:sz w:val="24"/>
          <w:szCs w:val="24"/>
        </w:rPr>
        <w:instrText xml:space="preserve"> ADDIN ZOTERO_ITEM CSL_CITATION {"citationID":"Ye8zBEoC","properties":{"custom":"(Jain et al., 2017)","formattedCitation":"(Jain et al., 2017)","plainCitation":"(Jain et al., 2017)","noteIndex":0},"citationItems":[{"id":304,"uris":["http://zotero.org/users/local/Ys1kvdNt/items/DP3XP4J7"],"itemData":{"id":304,"type":"article-journal","abstract":"Aim: A new analytical platform combining ultrasound assisted-dispersive liquid-liquid microextraction (US-DLLME) with thin layer chromatography (TLC)-image processing analysis has been proposed.","container-title":"Toxicology and Forensic Medicine - Open Journal","DOI":"10.17140/TFMOJ-2-113","ISSN":"24748978","issue":"1","journalAbbreviation":"Toxicol Forensic Med Open J","language":"en","page":"17-25","source":"DOI.org (Crossref)","title":"Coupling Microextraction With Thin Layer Chromatography-Image Processing Analysis: A New Analytical Platform for Drug Analysis","title-short":"Coupling Microextraction With Thin Layer Chromatography-Image Processing Analysis","volume":"2","author":[{"literal":"Forensic Toxicology Division, Central Forensic Science Laboratory, Ministry of Home Affairs, Government of India, Tetelia, Gotanagar, Guwahati 781033, Assam, India"},{"family":"Jain","given":"Rajeev"},{"family":"Singh","given":"Ritu"},{"literal":"Department of Environmental Science, School of Earth Sciences, Central University of Rajasthan, NH8, Bandarsindri, Kishangarh, Ajmer 305817, Rajasthan, India"},{"family":"Sudhaker","given":"S"},{"literal":"Forensic Toxicology Division, Central Forensic Science Laboratory, Ministry of Home Affairs, Government of India, Tetelia, Gotanagar, Guwahati 781033, Assam, India"},{"family":"Barik","given":"Ashok Kumar"},{"literal":"Document Division, Central Forensic Science Laboratory, Ministry of Home Affairs, Government of India, Tetelia, Gotanagar, Guwahati 781033, Assam, India"},{"family":"Kumar","given":"Sanjeet"},{"literal":"Forensic Chemistry Division, Central Forensic Science Laboratory, Ministry of Home Affairs, Government of India, Gorachand Road, Kolkata 700014, West Bengal, India"}],"issued":{"date-parts":[["2017",4,28]]}}}],"schema":"https://github.com/citation-style-language/schema/raw/master/csl-citation.json"} </w:instrText>
      </w:r>
      <w:r w:rsidR="007D4E03">
        <w:rPr>
          <w:rFonts w:ascii="Times New Roman" w:hAnsi="Times New Roman" w:cs="Times New Roman"/>
          <w:bCs/>
          <w:iCs/>
          <w:sz w:val="24"/>
          <w:szCs w:val="24"/>
        </w:rPr>
        <w:fldChar w:fldCharType="separate"/>
      </w:r>
      <w:r w:rsidR="002B73AC" w:rsidRPr="002B73AC">
        <w:rPr>
          <w:rFonts w:ascii="Times New Roman" w:hAnsi="Times New Roman" w:cs="Times New Roman"/>
          <w:sz w:val="24"/>
        </w:rPr>
        <w:t>(Jain et al., 2017)</w:t>
      </w:r>
      <w:r w:rsidR="007D4E03">
        <w:rPr>
          <w:rFonts w:ascii="Times New Roman" w:hAnsi="Times New Roman" w:cs="Times New Roman"/>
          <w:bCs/>
          <w:iCs/>
          <w:sz w:val="24"/>
          <w:szCs w:val="24"/>
        </w:rPr>
        <w:fldChar w:fldCharType="end"/>
      </w:r>
      <w:r w:rsidR="007D4E03">
        <w:rPr>
          <w:rFonts w:ascii="Times New Roman" w:hAnsi="Times New Roman" w:cs="Times New Roman"/>
          <w:bCs/>
          <w:iCs/>
          <w:sz w:val="24"/>
          <w:szCs w:val="24"/>
        </w:rPr>
        <w:t xml:space="preserve">; </w:t>
      </w:r>
      <w:r w:rsidR="007D4E03">
        <w:rPr>
          <w:rFonts w:ascii="Times New Roman" w:hAnsi="Times New Roman" w:cs="Times New Roman"/>
          <w:bCs/>
          <w:iCs/>
          <w:sz w:val="24"/>
          <w:szCs w:val="24"/>
        </w:rPr>
        <w:fldChar w:fldCharType="begin"/>
      </w:r>
      <w:r w:rsidR="002B73AC">
        <w:rPr>
          <w:rFonts w:ascii="Times New Roman" w:hAnsi="Times New Roman" w:cs="Times New Roman"/>
          <w:bCs/>
          <w:iCs/>
          <w:sz w:val="24"/>
          <w:szCs w:val="24"/>
        </w:rPr>
        <w:instrText xml:space="preserve"> ADDIN ZOTERO_ITEM CSL_CITATION {"citationID":"JkR5XwYI","properties":{"formattedCitation":"(Jain, 2018; Jain et al., 2020, 2021)","plainCitation":"(Jain, 2018; Jain et al., 2020, 2021)","noteIndex":0},"citationItems":[{"id":280,"uris":["http://zotero.org/users/local/Ys1kvdNt/items/XF6V96LS"],"itemData":{"id":280,"type":"article-journal","abstract":"A simple, rapid, cost-effective, and eco-friendly method is proposed for the simultaneous determination of some common overthe-counter drugs (aspirin, paracetamol, and caffeine [APC]) in saliva and pharmaceutical formulations based on the coupling of ultrasound-assisted emulsification microextraction (USEME) with thin-layer chromatography (TLC)‒image-processing analysis. The process involves the rapid injection of 65 µL of chloroform in diluted saliva samples (2 mL) followed by ultrasonication, which results in the formation of an emulsion. This solution is centrifuged, and 20 µL was spotted on TLC plate which was allowed to develop in mobile phase of ethyl acetate and acetic acid (95:5, v/v). The developed TLC plate was photographed, and the spots of APC were quantified by using the freely available ImageJ software (National Institute of Health [NIH], Bethesda, MD, USA). Factors which can influence the yield of USEME were screened using 27‒4 Placket–Burman design (PBD), and significant factors were optimized using central composite design (CCD). The recoveries and detection limits for all the analytes were found to be in the range of 89.2–94.1% and 0.007–0.012 mg spot−1, respectively. The assay was found to be linear in the range of 0.04–0.2 mg spot−1 with correlation of coefficient of 0.990–0.994. Intra- and inter-day precision for the assay were found to be in the range of 3.12–4.93% and 5.66–8.61%, respectively. The developed method does not require any special instrument and handling skill for the quantitative analysis of APC in saliva and pharmaceutical formulations.","container-title":"JPC - Journal of Planar Chromatography - Modern TLC","DOI":"10.1556/1006.2018.31.4.1","ISSN":"0933-4173, 1789-0993","issue":"4","journalAbbreviation":"JPC - Journal of Planar Chromatography - Modern TLC","language":"en","page":"265-271","source":"DOI.org (Crossref)","title":"Optimization of ultrasound-assisted emulsification microextraction by experimental design for determination of over-the-counter drugs by thin-layer chromatography–image-processing method","volume":"31","author":[{"family":"Jain","given":"Rajeev"}],"issued":{"date-parts":[["2018",8]]}}},{"id":323,"uris":["http://zotero.org/users/local/Ys1kvdNt/items/TUX5CWKX"],"itemData":{"id":323,"type":"article-journal","abstract":"A simple, rapid, cost-effective and green analytical method is developed based on ultrasoundassisted dispersive liquid–liquid microextraction (US-DLLME) coupled to thin-layer chromatography (TLC)-image analysis for the simultaneous determination of two major alkaloids of Strychnos nux-vomica L i.e., strychnine and brucine. The method is composed of three steps, namely (i) US-DLLME by injecting a mixture of 100-μL chloroform (extraction solvent) and 1-mL methanol (disperser solvent) in 5 mL of aqueous sample, followed by ultrasonication and centrifugation, (ii) TLC of 20 μL of sedimented phase with methanol: ammonia (100:1.5, v/v) as the mobile phase and visualization under ultraviolet radiation (254 nm) and (iii) photography of TLC plate and quantiﬁcation of spots by image analysis using freely available imageJ software (National Institute of Health, Bethesda, MD, USA). The limit of detection and limit of quantiﬁcation for both alkaloids were found to be in the range of 0.12–0.15 and 0.36–0.48 μg/spot, respectively. The method was found to be linear in the range of 0.5–5 μg/spot with correlation coefﬁcient (R2) of 0.995 and 0.997 for strychnine and brucine, respectively. The developed method was successfully applied for the determination of strychnine and brucine in Ayurvedic formulations and blood samples. The method does not require any sophisticated instrument and handling skills and can be adopted for rapid analysis of strychnine and brucine in forensic toxicological laboratories.","container-title":"Journal of Chromatographic Science","DOI":"10.1093/chromsci/bmaa007","ISSN":"0021-9665, 1945-239X","issue":"5","language":"en","license":"https://academic.oup.com/journals/pages/open_access/funder_policies/chorus/standard_publication_model","page":"477-484","source":"DOI.org (Crossref)","title":"A simple, cost-effective and rapid method for simultaneous determination of Strychnos nux-vomica alkaloids in blood and Ayurvedic medicines based on ultrasound-assisted dispersive liquid–liquid microextraction–thin-layer chromatography-image analysis","volume":"58","author":[{"family":"Jain","given":"Rajeev"},{"family":"Tripathi","given":"Rohitashva Mani"},{"family":"Negi","given":"Archna"},{"family":"Singh","given":"Shishir Pratap"}],"issued":{"date-parts":[["2020",4,25]]}}},{"id":302,"uris":["http://zotero.org/users/local/Ys1kvdNt/items/EEPNCZ82"],"itemData":{"id":302,"type":"article-journal","container-title":"Microchemical Journal","DOI":"10.1016/j.microc.2020.105870","ISSN":"0026265X","journalAbbreviation":"Microchemical Journal","language":"en","page":"105870","source":"DOI.org (Crossref)","title":"Dispersive liquid-liquid microextraction combined with digital image colorimetry for paracetamol analysis","volume":"162","author":[{"family":"Jain","given":"Rajeev"},{"family":"Jha","given":"Rakesh Roshan"},{"family":"Kumari","given":"Aparna"},{"family":"Khatri","given":"Indu"}],"issued":{"date-parts":[["2021",3]]}}}],"schema":"https://github.com/citation-style-language/schema/raw/master/csl-citation.json"} </w:instrText>
      </w:r>
      <w:r w:rsidR="007D4E03">
        <w:rPr>
          <w:rFonts w:ascii="Times New Roman" w:hAnsi="Times New Roman" w:cs="Times New Roman"/>
          <w:bCs/>
          <w:iCs/>
          <w:sz w:val="24"/>
          <w:szCs w:val="24"/>
        </w:rPr>
        <w:fldChar w:fldCharType="separate"/>
      </w:r>
      <w:r w:rsidR="002B73AC" w:rsidRPr="002B73AC">
        <w:rPr>
          <w:rFonts w:ascii="Times New Roman" w:hAnsi="Times New Roman" w:cs="Times New Roman"/>
          <w:sz w:val="24"/>
        </w:rPr>
        <w:t>(Jain, 2018; Jain et al., 2020, 2021)</w:t>
      </w:r>
      <w:r w:rsidR="007D4E03">
        <w:rPr>
          <w:rFonts w:ascii="Times New Roman" w:hAnsi="Times New Roman" w:cs="Times New Roman"/>
          <w:bCs/>
          <w:iCs/>
          <w:sz w:val="24"/>
          <w:szCs w:val="24"/>
        </w:rPr>
        <w:fldChar w:fldCharType="end"/>
      </w:r>
      <w:r w:rsidR="00590B68" w:rsidRPr="00590B68">
        <w:rPr>
          <w:rFonts w:ascii="Times New Roman" w:hAnsi="Times New Roman" w:cs="Times New Roman"/>
          <w:bCs/>
          <w:iCs/>
          <w:sz w:val="24"/>
          <w:szCs w:val="24"/>
        </w:rPr>
        <w:t>. This capability transforms TLC from a primarily qualitative method into a semi-quantitative or quantitative tool.</w:t>
      </w:r>
    </w:p>
    <w:p w14:paraId="3919C927" w14:textId="77777777" w:rsidR="00723B9B" w:rsidRDefault="00723B9B" w:rsidP="00CB478A">
      <w:pPr>
        <w:pStyle w:val="ListParagraph"/>
        <w:spacing w:after="0" w:line="360" w:lineRule="auto"/>
        <w:ind w:left="284"/>
        <w:jc w:val="both"/>
        <w:rPr>
          <w:rFonts w:ascii="Times New Roman" w:hAnsi="Times New Roman" w:cs="Times New Roman"/>
          <w:bCs/>
          <w:iCs/>
          <w:sz w:val="24"/>
          <w:szCs w:val="24"/>
        </w:rPr>
      </w:pPr>
    </w:p>
    <w:p w14:paraId="3F85F0C5" w14:textId="662B8BB6" w:rsidR="00590B68" w:rsidRDefault="007A7AA2" w:rsidP="00CB478A">
      <w:pPr>
        <w:pStyle w:val="ListParagraph"/>
        <w:spacing w:after="0" w:line="360" w:lineRule="auto"/>
        <w:ind w:left="284"/>
        <w:jc w:val="both"/>
        <w:rPr>
          <w:rFonts w:ascii="Times New Roman" w:hAnsi="Times New Roman" w:cs="Times New Roman"/>
          <w:bCs/>
          <w:iCs/>
          <w:sz w:val="24"/>
          <w:szCs w:val="24"/>
        </w:rPr>
      </w:pPr>
      <w:r>
        <w:rPr>
          <w:rFonts w:ascii="Times New Roman" w:hAnsi="Times New Roman" w:cs="Times New Roman"/>
          <w:bCs/>
          <w:iCs/>
          <w:sz w:val="24"/>
          <w:szCs w:val="24"/>
        </w:rPr>
        <w:t>This study couples UA-DLLME with TLC image analysis to optimize, validate, apply, and compare the developed methodology for the detection of RSP in real samples (Blood, urine, and pills)</w:t>
      </w:r>
      <w:r w:rsidR="00D6081B">
        <w:rPr>
          <w:rFonts w:ascii="Times New Roman" w:hAnsi="Times New Roman" w:cs="Times New Roman"/>
          <w:bCs/>
          <w:iCs/>
          <w:sz w:val="24"/>
          <w:szCs w:val="24"/>
        </w:rPr>
        <w:t xml:space="preserve"> with High Performance Liquid Chromatography (HPLC)</w:t>
      </w:r>
      <w:r>
        <w:rPr>
          <w:rFonts w:ascii="Times New Roman" w:hAnsi="Times New Roman" w:cs="Times New Roman"/>
          <w:bCs/>
          <w:iCs/>
          <w:sz w:val="24"/>
          <w:szCs w:val="24"/>
        </w:rPr>
        <w:t xml:space="preserve">. Along with this, the greenness of the </w:t>
      </w:r>
      <w:r>
        <w:rPr>
          <w:rFonts w:ascii="Times New Roman" w:hAnsi="Times New Roman" w:cs="Times New Roman"/>
          <w:bCs/>
          <w:iCs/>
          <w:sz w:val="24"/>
          <w:szCs w:val="24"/>
        </w:rPr>
        <w:lastRenderedPageBreak/>
        <w:t>developed method is evaluated using the Green Analytical Procedure Index (GAPI)</w:t>
      </w:r>
      <w:r w:rsidR="00862E5A">
        <w:rPr>
          <w:rFonts w:ascii="Times New Roman" w:hAnsi="Times New Roman" w:cs="Times New Roman"/>
          <w:bCs/>
          <w:iCs/>
          <w:sz w:val="24"/>
          <w:szCs w:val="24"/>
        </w:rPr>
        <w:t xml:space="preserve"> (</w:t>
      </w:r>
      <w:proofErr w:type="spellStart"/>
      <w:r w:rsidR="00862E5A">
        <w:rPr>
          <w:rFonts w:ascii="Times New Roman" w:hAnsi="Times New Roman" w:cs="Times New Roman"/>
          <w:bCs/>
          <w:iCs/>
          <w:sz w:val="24"/>
          <w:szCs w:val="24"/>
        </w:rPr>
        <w:t>Plotka-Wasylka</w:t>
      </w:r>
      <w:proofErr w:type="spellEnd"/>
      <w:r>
        <w:rPr>
          <w:rFonts w:ascii="Times New Roman" w:hAnsi="Times New Roman" w:cs="Times New Roman"/>
          <w:bCs/>
          <w:iCs/>
          <w:sz w:val="24"/>
          <w:szCs w:val="24"/>
        </w:rPr>
        <w:t>,</w:t>
      </w:r>
      <w:r w:rsidR="00862E5A">
        <w:rPr>
          <w:rFonts w:ascii="Times New Roman" w:hAnsi="Times New Roman" w:cs="Times New Roman"/>
          <w:bCs/>
          <w:iCs/>
          <w:sz w:val="24"/>
          <w:szCs w:val="24"/>
        </w:rPr>
        <w:t xml:space="preserve"> 2018),</w:t>
      </w:r>
      <w:r>
        <w:rPr>
          <w:rFonts w:ascii="Times New Roman" w:hAnsi="Times New Roman" w:cs="Times New Roman"/>
          <w:bCs/>
          <w:iCs/>
          <w:sz w:val="24"/>
          <w:szCs w:val="24"/>
        </w:rPr>
        <w:t xml:space="preserve"> Analytical Greenness</w:t>
      </w:r>
      <w:r w:rsidR="00862E5A">
        <w:rPr>
          <w:rFonts w:ascii="Times New Roman" w:hAnsi="Times New Roman" w:cs="Times New Roman"/>
          <w:bCs/>
          <w:iCs/>
          <w:sz w:val="24"/>
          <w:szCs w:val="24"/>
        </w:rPr>
        <w:t xml:space="preserve"> </w:t>
      </w:r>
      <w:r>
        <w:rPr>
          <w:rFonts w:ascii="Times New Roman" w:hAnsi="Times New Roman" w:cs="Times New Roman"/>
          <w:bCs/>
          <w:iCs/>
          <w:sz w:val="24"/>
          <w:szCs w:val="24"/>
        </w:rPr>
        <w:t>(AG</w:t>
      </w:r>
      <w:r w:rsidR="00E1658C">
        <w:rPr>
          <w:rFonts w:ascii="Times New Roman" w:hAnsi="Times New Roman" w:cs="Times New Roman"/>
          <w:bCs/>
          <w:iCs/>
          <w:sz w:val="24"/>
          <w:szCs w:val="24"/>
        </w:rPr>
        <w:t>REE</w:t>
      </w:r>
      <w:r w:rsidR="00862E5A">
        <w:rPr>
          <w:rFonts w:ascii="Times New Roman" w:hAnsi="Times New Roman" w:cs="Times New Roman"/>
          <w:bCs/>
          <w:iCs/>
          <w:sz w:val="24"/>
          <w:szCs w:val="24"/>
        </w:rPr>
        <w:t>)</w:t>
      </w:r>
      <w:r w:rsidR="00CD5F46">
        <w:rPr>
          <w:rFonts w:ascii="Times New Roman" w:hAnsi="Times New Roman" w:cs="Times New Roman"/>
          <w:bCs/>
          <w:iCs/>
          <w:sz w:val="24"/>
          <w:szCs w:val="24"/>
        </w:rPr>
        <w:t xml:space="preserve"> (</w:t>
      </w:r>
      <w:r w:rsidR="00CD5F46" w:rsidRPr="00CD5F46">
        <w:rPr>
          <w:rFonts w:ascii="Times New Roman" w:hAnsi="Times New Roman" w:cs="Times New Roman"/>
          <w:bCs/>
          <w:iCs/>
          <w:sz w:val="24"/>
          <w:szCs w:val="24"/>
        </w:rPr>
        <w:t>Pena-Pereira</w:t>
      </w:r>
      <w:r w:rsidR="00CD5F46">
        <w:rPr>
          <w:rFonts w:ascii="Times New Roman" w:hAnsi="Times New Roman" w:cs="Times New Roman"/>
          <w:bCs/>
          <w:iCs/>
          <w:sz w:val="24"/>
          <w:szCs w:val="24"/>
        </w:rPr>
        <w:t xml:space="preserve"> et al., 2020)</w:t>
      </w:r>
      <w:r>
        <w:rPr>
          <w:rFonts w:ascii="Times New Roman" w:hAnsi="Times New Roman" w:cs="Times New Roman"/>
          <w:bCs/>
          <w:iCs/>
          <w:sz w:val="24"/>
          <w:szCs w:val="24"/>
        </w:rPr>
        <w:t xml:space="preserve">, and </w:t>
      </w:r>
      <w:r w:rsidR="00862E5A">
        <w:rPr>
          <w:rFonts w:ascii="Times New Roman" w:hAnsi="Times New Roman" w:cs="Times New Roman"/>
          <w:bCs/>
          <w:iCs/>
          <w:sz w:val="24"/>
          <w:szCs w:val="24"/>
        </w:rPr>
        <w:t>Environmental, Performance, and Practicality Index (</w:t>
      </w:r>
      <w:r w:rsidR="00903CCE">
        <w:rPr>
          <w:rFonts w:ascii="Times New Roman" w:hAnsi="Times New Roman" w:cs="Times New Roman"/>
          <w:bCs/>
          <w:iCs/>
          <w:sz w:val="24"/>
          <w:szCs w:val="24"/>
        </w:rPr>
        <w:t>EPPI</w:t>
      </w:r>
      <w:r w:rsidR="00862E5A">
        <w:rPr>
          <w:rFonts w:ascii="Times New Roman" w:hAnsi="Times New Roman" w:cs="Times New Roman"/>
          <w:bCs/>
          <w:iCs/>
          <w:sz w:val="24"/>
          <w:szCs w:val="24"/>
        </w:rPr>
        <w:t>) (</w:t>
      </w:r>
      <w:proofErr w:type="spellStart"/>
      <w:r w:rsidR="00862E5A">
        <w:rPr>
          <w:rFonts w:ascii="Times New Roman" w:hAnsi="Times New Roman" w:cs="Times New Roman"/>
          <w:bCs/>
          <w:iCs/>
          <w:sz w:val="24"/>
          <w:szCs w:val="24"/>
        </w:rPr>
        <w:t>Elagamy</w:t>
      </w:r>
      <w:proofErr w:type="spellEnd"/>
      <w:r w:rsidR="00862E5A">
        <w:rPr>
          <w:rFonts w:ascii="Times New Roman" w:hAnsi="Times New Roman" w:cs="Times New Roman"/>
          <w:bCs/>
          <w:iCs/>
          <w:sz w:val="24"/>
          <w:szCs w:val="24"/>
        </w:rPr>
        <w:t xml:space="preserve"> et al., 2025)</w:t>
      </w:r>
      <w:r w:rsidR="00903CCE">
        <w:rPr>
          <w:rFonts w:ascii="Times New Roman" w:hAnsi="Times New Roman" w:cs="Times New Roman"/>
          <w:bCs/>
          <w:iCs/>
          <w:sz w:val="24"/>
          <w:szCs w:val="24"/>
        </w:rPr>
        <w:t xml:space="preserve"> </w:t>
      </w:r>
      <w:r>
        <w:rPr>
          <w:rFonts w:ascii="Times New Roman" w:hAnsi="Times New Roman" w:cs="Times New Roman"/>
          <w:bCs/>
          <w:iCs/>
          <w:sz w:val="24"/>
          <w:szCs w:val="24"/>
        </w:rPr>
        <w:t>calculators.</w:t>
      </w:r>
    </w:p>
    <w:p w14:paraId="15592171" w14:textId="77777777" w:rsidR="00590B68" w:rsidRPr="00567CA3" w:rsidRDefault="00590B68" w:rsidP="00CB478A">
      <w:pPr>
        <w:pStyle w:val="ListParagraph"/>
        <w:spacing w:after="0" w:line="360" w:lineRule="auto"/>
        <w:ind w:left="284"/>
        <w:jc w:val="both"/>
        <w:rPr>
          <w:rFonts w:ascii="Times New Roman" w:hAnsi="Times New Roman" w:cs="Times New Roman"/>
          <w:bCs/>
          <w:iCs/>
          <w:sz w:val="24"/>
          <w:szCs w:val="24"/>
        </w:rPr>
      </w:pPr>
    </w:p>
    <w:p w14:paraId="2B8238E6" w14:textId="2EC1C5F4" w:rsidR="008E2057" w:rsidRPr="00062C20" w:rsidRDefault="00E97634" w:rsidP="00E97634">
      <w:pPr>
        <w:pStyle w:val="ListParagraph"/>
        <w:numPr>
          <w:ilvl w:val="0"/>
          <w:numId w:val="3"/>
        </w:numPr>
        <w:spacing w:after="0" w:line="360" w:lineRule="auto"/>
        <w:ind w:left="284" w:hanging="284"/>
        <w:jc w:val="both"/>
        <w:rPr>
          <w:rFonts w:ascii="Times New Roman" w:hAnsi="Times New Roman" w:cs="Times New Roman"/>
          <w:b/>
          <w:iCs/>
          <w:sz w:val="24"/>
          <w:szCs w:val="24"/>
        </w:rPr>
      </w:pPr>
      <w:r w:rsidRPr="00062C20">
        <w:rPr>
          <w:rFonts w:ascii="Times New Roman" w:hAnsi="Times New Roman" w:cs="Times New Roman"/>
          <w:b/>
          <w:iCs/>
          <w:sz w:val="24"/>
          <w:szCs w:val="24"/>
        </w:rPr>
        <w:t>Experimental</w:t>
      </w:r>
    </w:p>
    <w:p w14:paraId="052298FB" w14:textId="3899994C" w:rsidR="001455D4" w:rsidRPr="00062C20" w:rsidRDefault="001455D4" w:rsidP="00E97634">
      <w:pPr>
        <w:pStyle w:val="ListParagraph"/>
        <w:numPr>
          <w:ilvl w:val="1"/>
          <w:numId w:val="3"/>
        </w:numPr>
        <w:spacing w:after="0" w:line="360" w:lineRule="auto"/>
        <w:jc w:val="both"/>
        <w:rPr>
          <w:rFonts w:ascii="Times New Roman" w:hAnsi="Times New Roman" w:cs="Times New Roman"/>
          <w:b/>
          <w:iCs/>
          <w:sz w:val="24"/>
          <w:szCs w:val="24"/>
        </w:rPr>
      </w:pPr>
      <w:r w:rsidRPr="00062C20">
        <w:rPr>
          <w:rFonts w:ascii="Times New Roman" w:hAnsi="Times New Roman" w:cs="Times New Roman"/>
          <w:b/>
          <w:iCs/>
          <w:sz w:val="24"/>
          <w:szCs w:val="24"/>
        </w:rPr>
        <w:t>Reagents and chemicals</w:t>
      </w:r>
    </w:p>
    <w:p w14:paraId="3C9148B1" w14:textId="262AE8E0" w:rsidR="001455D4" w:rsidRDefault="00BE2903" w:rsidP="00BE2903">
      <w:pPr>
        <w:spacing w:after="0" w:line="360" w:lineRule="auto"/>
        <w:ind w:left="284"/>
        <w:jc w:val="both"/>
        <w:rPr>
          <w:rFonts w:ascii="Times New Roman" w:hAnsi="Times New Roman" w:cs="Times New Roman"/>
          <w:bCs/>
          <w:iCs/>
          <w:sz w:val="24"/>
          <w:szCs w:val="24"/>
        </w:rPr>
      </w:pPr>
      <w:r>
        <w:rPr>
          <w:rFonts w:ascii="Times New Roman" w:hAnsi="Times New Roman" w:cs="Times New Roman"/>
          <w:bCs/>
          <w:iCs/>
          <w:sz w:val="24"/>
          <w:szCs w:val="24"/>
        </w:rPr>
        <w:t>The reagents and chemicals used in this study were of analytical grade</w:t>
      </w:r>
      <w:r w:rsidR="006D0659">
        <w:rPr>
          <w:rFonts w:ascii="Times New Roman" w:hAnsi="Times New Roman" w:cs="Times New Roman"/>
          <w:bCs/>
          <w:iCs/>
          <w:sz w:val="24"/>
          <w:szCs w:val="24"/>
        </w:rPr>
        <w:t xml:space="preserve"> </w:t>
      </w:r>
      <w:r>
        <w:rPr>
          <w:rFonts w:ascii="Times New Roman" w:hAnsi="Times New Roman" w:cs="Times New Roman"/>
          <w:bCs/>
          <w:iCs/>
          <w:sz w:val="24"/>
          <w:szCs w:val="24"/>
        </w:rPr>
        <w:t>un</w:t>
      </w:r>
      <w:r w:rsidR="006D0659">
        <w:rPr>
          <w:rFonts w:ascii="Times New Roman" w:hAnsi="Times New Roman" w:cs="Times New Roman"/>
          <w:bCs/>
          <w:iCs/>
          <w:sz w:val="24"/>
          <w:szCs w:val="24"/>
        </w:rPr>
        <w:t>less</w:t>
      </w:r>
      <w:r>
        <w:rPr>
          <w:rFonts w:ascii="Times New Roman" w:hAnsi="Times New Roman" w:cs="Times New Roman"/>
          <w:bCs/>
          <w:iCs/>
          <w:sz w:val="24"/>
          <w:szCs w:val="24"/>
        </w:rPr>
        <w:t xml:space="preserve"> stated otherwise. The standard sample of Risperidone (RSP</w:t>
      </w:r>
      <w:r w:rsidR="006D0659">
        <w:rPr>
          <w:rFonts w:ascii="Times New Roman" w:hAnsi="Times New Roman" w:cs="Times New Roman"/>
          <w:bCs/>
          <w:iCs/>
          <w:sz w:val="24"/>
          <w:szCs w:val="24"/>
        </w:rPr>
        <w:t>, dissolved in methanol)</w:t>
      </w:r>
      <w:r>
        <w:rPr>
          <w:rFonts w:ascii="Times New Roman" w:hAnsi="Times New Roman" w:cs="Times New Roman"/>
          <w:bCs/>
          <w:iCs/>
          <w:sz w:val="24"/>
          <w:szCs w:val="24"/>
        </w:rPr>
        <w:t xml:space="preserve"> was obtained from </w:t>
      </w:r>
      <w:r w:rsidR="00E007FF">
        <w:rPr>
          <w:rFonts w:ascii="Times New Roman" w:hAnsi="Times New Roman" w:cs="Times New Roman"/>
          <w:bCs/>
          <w:iCs/>
          <w:sz w:val="24"/>
          <w:szCs w:val="24"/>
        </w:rPr>
        <w:t>Sigma-Aldrich USA</w:t>
      </w:r>
      <w:r>
        <w:rPr>
          <w:rFonts w:ascii="Times New Roman" w:hAnsi="Times New Roman" w:cs="Times New Roman"/>
          <w:bCs/>
          <w:iCs/>
          <w:sz w:val="24"/>
          <w:szCs w:val="24"/>
        </w:rPr>
        <w:t xml:space="preserve">. Acetonitrile (ACN, </w:t>
      </w:r>
      <w:r w:rsidRPr="007408AB">
        <w:rPr>
          <w:rFonts w:ascii="Times New Roman" w:hAnsi="Times New Roman" w:cs="Times New Roman"/>
          <w:bCs/>
          <w:iCs/>
          <w:color w:val="0070C0"/>
          <w:sz w:val="24"/>
          <w:szCs w:val="24"/>
          <w:u w:val="single"/>
        </w:rPr>
        <w:t>purity &gt;99%</w:t>
      </w:r>
      <w:r>
        <w:rPr>
          <w:rFonts w:ascii="Times New Roman" w:hAnsi="Times New Roman" w:cs="Times New Roman"/>
          <w:bCs/>
          <w:iCs/>
          <w:sz w:val="24"/>
          <w:szCs w:val="24"/>
        </w:rPr>
        <w:t xml:space="preserve">), acetone (ACT, </w:t>
      </w:r>
      <w:r w:rsidR="007408AB" w:rsidRPr="007408AB">
        <w:rPr>
          <w:rFonts w:ascii="Times New Roman" w:hAnsi="Times New Roman" w:cs="Times New Roman"/>
          <w:bCs/>
          <w:iCs/>
          <w:color w:val="0070C0"/>
          <w:sz w:val="24"/>
          <w:szCs w:val="24"/>
          <w:u w:val="single"/>
        </w:rPr>
        <w:t>purity &gt;99%</w:t>
      </w:r>
      <w:r>
        <w:rPr>
          <w:rFonts w:ascii="Times New Roman" w:hAnsi="Times New Roman" w:cs="Times New Roman"/>
          <w:bCs/>
          <w:iCs/>
          <w:sz w:val="24"/>
          <w:szCs w:val="24"/>
        </w:rPr>
        <w:t xml:space="preserve">), ethanol (EtOH, </w:t>
      </w:r>
      <w:r w:rsidR="007408AB" w:rsidRPr="007408AB">
        <w:rPr>
          <w:rFonts w:ascii="Times New Roman" w:hAnsi="Times New Roman" w:cs="Times New Roman"/>
          <w:bCs/>
          <w:iCs/>
          <w:color w:val="0070C0"/>
          <w:sz w:val="24"/>
          <w:szCs w:val="24"/>
          <w:u w:val="single"/>
        </w:rPr>
        <w:t>purity</w:t>
      </w:r>
      <w:r w:rsidR="007408AB">
        <w:rPr>
          <w:rFonts w:ascii="Times New Roman" w:hAnsi="Times New Roman" w:cs="Times New Roman"/>
          <w:bCs/>
          <w:iCs/>
          <w:color w:val="0070C0"/>
          <w:sz w:val="24"/>
          <w:szCs w:val="24"/>
          <w:u w:val="single"/>
        </w:rPr>
        <w:t xml:space="preserve"> </w:t>
      </w:r>
      <w:r w:rsidR="007408AB" w:rsidRPr="007408AB">
        <w:rPr>
          <w:rFonts w:ascii="Times New Roman" w:hAnsi="Times New Roman" w:cs="Times New Roman"/>
          <w:bCs/>
          <w:iCs/>
          <w:color w:val="0070C0"/>
          <w:sz w:val="24"/>
          <w:szCs w:val="24"/>
          <w:u w:val="single"/>
        </w:rPr>
        <w:t>&gt;99%</w:t>
      </w:r>
      <w:r>
        <w:rPr>
          <w:rFonts w:ascii="Times New Roman" w:hAnsi="Times New Roman" w:cs="Times New Roman"/>
          <w:bCs/>
          <w:iCs/>
          <w:sz w:val="24"/>
          <w:szCs w:val="24"/>
        </w:rPr>
        <w:t xml:space="preserve">), and methanol (MeOH, </w:t>
      </w:r>
      <w:r w:rsidR="007408AB" w:rsidRPr="007408AB">
        <w:rPr>
          <w:rFonts w:ascii="Times New Roman" w:hAnsi="Times New Roman" w:cs="Times New Roman"/>
          <w:bCs/>
          <w:iCs/>
          <w:color w:val="0070C0"/>
          <w:sz w:val="24"/>
          <w:szCs w:val="24"/>
          <w:u w:val="single"/>
        </w:rPr>
        <w:t>purity &gt;99%</w:t>
      </w:r>
      <w:r>
        <w:rPr>
          <w:rFonts w:ascii="Times New Roman" w:hAnsi="Times New Roman" w:cs="Times New Roman"/>
          <w:bCs/>
          <w:iCs/>
          <w:sz w:val="24"/>
          <w:szCs w:val="24"/>
        </w:rPr>
        <w:t>) were obtained from SRL Chemicals (</w:t>
      </w:r>
      <w:r w:rsidR="008221FB">
        <w:rPr>
          <w:rFonts w:ascii="Times New Roman" w:hAnsi="Times New Roman" w:cs="Times New Roman"/>
          <w:bCs/>
          <w:iCs/>
          <w:sz w:val="24"/>
          <w:szCs w:val="24"/>
        </w:rPr>
        <w:t>Mumbai, India</w:t>
      </w:r>
      <w:r>
        <w:rPr>
          <w:rFonts w:ascii="Times New Roman" w:hAnsi="Times New Roman" w:cs="Times New Roman"/>
          <w:bCs/>
          <w:iCs/>
          <w:sz w:val="24"/>
          <w:szCs w:val="24"/>
        </w:rPr>
        <w:t xml:space="preserve">) and used as dispersive solvents. Chloroform (CF, </w:t>
      </w:r>
      <w:r w:rsidR="007408AB" w:rsidRPr="007408AB">
        <w:rPr>
          <w:rFonts w:ascii="Times New Roman" w:hAnsi="Times New Roman" w:cs="Times New Roman"/>
          <w:bCs/>
          <w:iCs/>
          <w:color w:val="0070C0"/>
          <w:sz w:val="24"/>
          <w:szCs w:val="24"/>
          <w:u w:val="single"/>
        </w:rPr>
        <w:t>purity &gt;99%</w:t>
      </w:r>
      <w:r>
        <w:rPr>
          <w:rFonts w:ascii="Times New Roman" w:hAnsi="Times New Roman" w:cs="Times New Roman"/>
          <w:bCs/>
          <w:iCs/>
          <w:sz w:val="24"/>
          <w:szCs w:val="24"/>
        </w:rPr>
        <w:t>), chlorobenzene (CB, purity &gt;99%), carbon tetrachloride (CCl</w:t>
      </w:r>
      <w:r>
        <w:rPr>
          <w:rFonts w:ascii="Times New Roman" w:hAnsi="Times New Roman" w:cs="Times New Roman"/>
          <w:bCs/>
          <w:iCs/>
          <w:sz w:val="24"/>
          <w:szCs w:val="24"/>
          <w:vertAlign w:val="subscript"/>
        </w:rPr>
        <w:t>4</w:t>
      </w:r>
      <w:r>
        <w:rPr>
          <w:rFonts w:ascii="Times New Roman" w:hAnsi="Times New Roman" w:cs="Times New Roman"/>
          <w:bCs/>
          <w:iCs/>
          <w:sz w:val="24"/>
          <w:szCs w:val="24"/>
        </w:rPr>
        <w:t xml:space="preserve">, </w:t>
      </w:r>
      <w:r w:rsidR="007408AB" w:rsidRPr="007408AB">
        <w:rPr>
          <w:rFonts w:ascii="Times New Roman" w:hAnsi="Times New Roman" w:cs="Times New Roman"/>
          <w:bCs/>
          <w:iCs/>
          <w:color w:val="0070C0"/>
          <w:sz w:val="24"/>
          <w:szCs w:val="24"/>
          <w:u w:val="single"/>
        </w:rPr>
        <w:t>purity &gt;99%</w:t>
      </w:r>
      <w:r>
        <w:rPr>
          <w:rFonts w:ascii="Times New Roman" w:hAnsi="Times New Roman" w:cs="Times New Roman"/>
          <w:bCs/>
          <w:iCs/>
          <w:sz w:val="24"/>
          <w:szCs w:val="24"/>
        </w:rPr>
        <w:t xml:space="preserve">), dichloromethane (DCM, </w:t>
      </w:r>
      <w:r w:rsidR="007408AB" w:rsidRPr="007408AB">
        <w:rPr>
          <w:rFonts w:ascii="Times New Roman" w:hAnsi="Times New Roman" w:cs="Times New Roman"/>
          <w:bCs/>
          <w:iCs/>
          <w:color w:val="0070C0"/>
          <w:sz w:val="24"/>
          <w:szCs w:val="24"/>
          <w:u w:val="single"/>
        </w:rPr>
        <w:t>purity</w:t>
      </w:r>
      <w:r w:rsidR="007408AB">
        <w:rPr>
          <w:rFonts w:ascii="Times New Roman" w:hAnsi="Times New Roman" w:cs="Times New Roman"/>
          <w:bCs/>
          <w:iCs/>
          <w:color w:val="0070C0"/>
          <w:sz w:val="24"/>
          <w:szCs w:val="24"/>
          <w:u w:val="single"/>
        </w:rPr>
        <w:t xml:space="preserve"> </w:t>
      </w:r>
      <w:r w:rsidR="007408AB" w:rsidRPr="007408AB">
        <w:rPr>
          <w:rFonts w:ascii="Times New Roman" w:hAnsi="Times New Roman" w:cs="Times New Roman"/>
          <w:bCs/>
          <w:iCs/>
          <w:color w:val="0070C0"/>
          <w:sz w:val="24"/>
          <w:szCs w:val="24"/>
          <w:u w:val="single"/>
        </w:rPr>
        <w:t>&gt;99%</w:t>
      </w:r>
      <w:r>
        <w:rPr>
          <w:rFonts w:ascii="Times New Roman" w:hAnsi="Times New Roman" w:cs="Times New Roman"/>
          <w:bCs/>
          <w:iCs/>
          <w:sz w:val="24"/>
          <w:szCs w:val="24"/>
        </w:rPr>
        <w:t xml:space="preserve">), and trichloroethylene (TCE, </w:t>
      </w:r>
      <w:r w:rsidR="007408AB" w:rsidRPr="007408AB">
        <w:rPr>
          <w:rFonts w:ascii="Times New Roman" w:hAnsi="Times New Roman" w:cs="Times New Roman"/>
          <w:bCs/>
          <w:iCs/>
          <w:color w:val="0070C0"/>
          <w:sz w:val="24"/>
          <w:szCs w:val="24"/>
          <w:u w:val="single"/>
        </w:rPr>
        <w:t>purity &gt;99%</w:t>
      </w:r>
      <w:r>
        <w:rPr>
          <w:rFonts w:ascii="Times New Roman" w:hAnsi="Times New Roman" w:cs="Times New Roman"/>
          <w:bCs/>
          <w:iCs/>
          <w:sz w:val="24"/>
          <w:szCs w:val="24"/>
        </w:rPr>
        <w:t>) were used as extraction solvents obtained from SRL</w:t>
      </w:r>
      <w:r w:rsidR="008221FB">
        <w:rPr>
          <w:rFonts w:ascii="Times New Roman" w:hAnsi="Times New Roman" w:cs="Times New Roman"/>
          <w:bCs/>
          <w:iCs/>
          <w:sz w:val="24"/>
          <w:szCs w:val="24"/>
        </w:rPr>
        <w:t xml:space="preserve"> </w:t>
      </w:r>
      <w:r>
        <w:rPr>
          <w:rFonts w:ascii="Times New Roman" w:hAnsi="Times New Roman" w:cs="Times New Roman"/>
          <w:bCs/>
          <w:iCs/>
          <w:sz w:val="24"/>
          <w:szCs w:val="24"/>
        </w:rPr>
        <w:t>Chemicals</w:t>
      </w:r>
      <w:r w:rsidR="008221FB">
        <w:rPr>
          <w:rFonts w:ascii="Times New Roman" w:hAnsi="Times New Roman" w:cs="Times New Roman"/>
          <w:bCs/>
          <w:iCs/>
          <w:sz w:val="24"/>
          <w:szCs w:val="24"/>
        </w:rPr>
        <w:t xml:space="preserve"> </w:t>
      </w:r>
      <w:r>
        <w:rPr>
          <w:rFonts w:ascii="Times New Roman" w:hAnsi="Times New Roman" w:cs="Times New Roman"/>
          <w:bCs/>
          <w:iCs/>
          <w:sz w:val="24"/>
          <w:szCs w:val="24"/>
        </w:rPr>
        <w:t>(</w:t>
      </w:r>
      <w:r w:rsidR="008221FB">
        <w:rPr>
          <w:rFonts w:ascii="Times New Roman" w:hAnsi="Times New Roman" w:cs="Times New Roman"/>
          <w:bCs/>
          <w:iCs/>
          <w:sz w:val="24"/>
          <w:szCs w:val="24"/>
        </w:rPr>
        <w:t>Mumbai, India</w:t>
      </w:r>
      <w:r>
        <w:rPr>
          <w:rFonts w:ascii="Times New Roman" w:hAnsi="Times New Roman" w:cs="Times New Roman"/>
          <w:bCs/>
          <w:iCs/>
          <w:sz w:val="24"/>
          <w:szCs w:val="24"/>
        </w:rPr>
        <w:t xml:space="preserve">). </w:t>
      </w:r>
      <w:r w:rsidR="008221FB" w:rsidRPr="007408AB">
        <w:rPr>
          <w:rFonts w:ascii="Times New Roman" w:hAnsi="Times New Roman" w:cs="Times New Roman"/>
          <w:bCs/>
          <w:iCs/>
          <w:color w:val="0070C0"/>
          <w:sz w:val="24"/>
          <w:szCs w:val="24"/>
          <w:u w:val="single"/>
        </w:rPr>
        <w:t xml:space="preserve">Pre-coated TLC </w:t>
      </w:r>
      <w:proofErr w:type="spellStart"/>
      <w:r w:rsidR="008221FB" w:rsidRPr="007408AB">
        <w:rPr>
          <w:rFonts w:ascii="Times New Roman" w:hAnsi="Times New Roman" w:cs="Times New Roman"/>
          <w:bCs/>
          <w:iCs/>
          <w:color w:val="0070C0"/>
          <w:sz w:val="24"/>
          <w:szCs w:val="24"/>
          <w:u w:val="single"/>
        </w:rPr>
        <w:t>aluminium</w:t>
      </w:r>
      <w:proofErr w:type="spellEnd"/>
      <w:r w:rsidR="008221FB" w:rsidRPr="007408AB">
        <w:rPr>
          <w:rFonts w:ascii="Times New Roman" w:hAnsi="Times New Roman" w:cs="Times New Roman"/>
          <w:bCs/>
          <w:iCs/>
          <w:color w:val="0070C0"/>
          <w:sz w:val="24"/>
          <w:szCs w:val="24"/>
          <w:u w:val="single"/>
        </w:rPr>
        <w:t xml:space="preserve"> plates (20</w:t>
      </w:r>
      <w:r w:rsidR="006D0659">
        <w:rPr>
          <w:rFonts w:ascii="Times New Roman" w:hAnsi="Times New Roman" w:cs="Times New Roman"/>
          <w:bCs/>
          <w:iCs/>
          <w:color w:val="0070C0"/>
          <w:sz w:val="24"/>
          <w:szCs w:val="24"/>
          <w:u w:val="single"/>
        </w:rPr>
        <w:t xml:space="preserve"> x 20</w:t>
      </w:r>
      <w:r w:rsidR="008221FB" w:rsidRPr="007408AB">
        <w:rPr>
          <w:rFonts w:ascii="Times New Roman" w:hAnsi="Times New Roman" w:cs="Times New Roman"/>
          <w:bCs/>
          <w:iCs/>
          <w:color w:val="0070C0"/>
          <w:sz w:val="24"/>
          <w:szCs w:val="24"/>
          <w:u w:val="single"/>
        </w:rPr>
        <w:t xml:space="preserve"> cm) with silica gel 60 F254 were </w:t>
      </w:r>
      <w:r w:rsidR="007408AB" w:rsidRPr="007408AB">
        <w:rPr>
          <w:rFonts w:ascii="Times New Roman" w:hAnsi="Times New Roman" w:cs="Times New Roman"/>
          <w:bCs/>
          <w:iCs/>
          <w:color w:val="0070C0"/>
          <w:sz w:val="24"/>
          <w:szCs w:val="24"/>
          <w:u w:val="single"/>
        </w:rPr>
        <w:t>obtained</w:t>
      </w:r>
      <w:r w:rsidR="008221FB" w:rsidRPr="007408AB">
        <w:rPr>
          <w:rFonts w:ascii="Times New Roman" w:hAnsi="Times New Roman" w:cs="Times New Roman"/>
          <w:bCs/>
          <w:iCs/>
          <w:color w:val="0070C0"/>
          <w:sz w:val="24"/>
          <w:szCs w:val="24"/>
          <w:u w:val="single"/>
        </w:rPr>
        <w:t xml:space="preserve"> from Sigma</w:t>
      </w:r>
      <w:r w:rsidR="00E007FF" w:rsidRPr="007408AB">
        <w:rPr>
          <w:rFonts w:ascii="Times New Roman" w:hAnsi="Times New Roman" w:cs="Times New Roman"/>
          <w:bCs/>
          <w:iCs/>
          <w:color w:val="0070C0"/>
          <w:sz w:val="24"/>
          <w:szCs w:val="24"/>
          <w:u w:val="single"/>
        </w:rPr>
        <w:t xml:space="preserve">-Aldrich </w:t>
      </w:r>
      <w:r w:rsidR="008221FB" w:rsidRPr="007408AB">
        <w:rPr>
          <w:rFonts w:ascii="Times New Roman" w:hAnsi="Times New Roman" w:cs="Times New Roman"/>
          <w:bCs/>
          <w:iCs/>
          <w:color w:val="0070C0"/>
          <w:sz w:val="24"/>
          <w:szCs w:val="24"/>
          <w:u w:val="single"/>
        </w:rPr>
        <w:t>USA</w:t>
      </w:r>
      <w:r w:rsidR="008221FB">
        <w:rPr>
          <w:rFonts w:ascii="Times New Roman" w:hAnsi="Times New Roman" w:cs="Times New Roman"/>
          <w:bCs/>
          <w:iCs/>
          <w:sz w:val="24"/>
          <w:szCs w:val="24"/>
        </w:rPr>
        <w:t xml:space="preserve">. The ultrapure water </w:t>
      </w:r>
      <w:r w:rsidR="00E007FF">
        <w:rPr>
          <w:rFonts w:ascii="Times New Roman" w:hAnsi="Times New Roman" w:cs="Times New Roman"/>
          <w:bCs/>
          <w:iCs/>
          <w:sz w:val="24"/>
          <w:szCs w:val="24"/>
        </w:rPr>
        <w:t>for</w:t>
      </w:r>
      <w:r w:rsidR="008221FB">
        <w:rPr>
          <w:rFonts w:ascii="Times New Roman" w:hAnsi="Times New Roman" w:cs="Times New Roman"/>
          <w:bCs/>
          <w:iCs/>
          <w:sz w:val="24"/>
          <w:szCs w:val="24"/>
        </w:rPr>
        <w:t xml:space="preserve"> microextraction and </w:t>
      </w:r>
      <w:r w:rsidR="00E007FF">
        <w:rPr>
          <w:rFonts w:ascii="Times New Roman" w:hAnsi="Times New Roman" w:cs="Times New Roman"/>
          <w:bCs/>
          <w:iCs/>
          <w:sz w:val="24"/>
          <w:szCs w:val="24"/>
        </w:rPr>
        <w:t>HPLC-grade</w:t>
      </w:r>
      <w:r w:rsidR="008221FB">
        <w:rPr>
          <w:rFonts w:ascii="Times New Roman" w:hAnsi="Times New Roman" w:cs="Times New Roman"/>
          <w:bCs/>
          <w:iCs/>
          <w:sz w:val="24"/>
          <w:szCs w:val="24"/>
        </w:rPr>
        <w:t xml:space="preserve"> water were used </w:t>
      </w:r>
      <w:r w:rsidR="00E007FF">
        <w:rPr>
          <w:rFonts w:ascii="Times New Roman" w:hAnsi="Times New Roman" w:cs="Times New Roman"/>
          <w:bCs/>
          <w:iCs/>
          <w:sz w:val="24"/>
          <w:szCs w:val="24"/>
        </w:rPr>
        <w:t>in</w:t>
      </w:r>
      <w:r w:rsidR="008221FB">
        <w:rPr>
          <w:rFonts w:ascii="Times New Roman" w:hAnsi="Times New Roman" w:cs="Times New Roman"/>
          <w:bCs/>
          <w:iCs/>
          <w:sz w:val="24"/>
          <w:szCs w:val="24"/>
        </w:rPr>
        <w:t xml:space="preserve"> the study.</w:t>
      </w:r>
    </w:p>
    <w:p w14:paraId="605C5E88" w14:textId="77777777" w:rsidR="00803993" w:rsidRPr="00BE2903" w:rsidRDefault="00803993" w:rsidP="00BE2903">
      <w:pPr>
        <w:spacing w:after="0" w:line="360" w:lineRule="auto"/>
        <w:ind w:left="284"/>
        <w:jc w:val="both"/>
        <w:rPr>
          <w:rFonts w:ascii="Times New Roman" w:hAnsi="Times New Roman" w:cs="Times New Roman"/>
          <w:bCs/>
          <w:iCs/>
          <w:sz w:val="24"/>
          <w:szCs w:val="24"/>
        </w:rPr>
      </w:pPr>
    </w:p>
    <w:p w14:paraId="3DCD9B02" w14:textId="2D5AFB91" w:rsidR="008E2057" w:rsidRPr="008F70E6" w:rsidRDefault="008E2057" w:rsidP="008F70E6">
      <w:pPr>
        <w:pStyle w:val="ListParagraph"/>
        <w:numPr>
          <w:ilvl w:val="1"/>
          <w:numId w:val="3"/>
        </w:numPr>
        <w:spacing w:after="0" w:line="360" w:lineRule="auto"/>
        <w:jc w:val="both"/>
        <w:rPr>
          <w:rFonts w:ascii="Times New Roman" w:hAnsi="Times New Roman" w:cs="Times New Roman"/>
          <w:b/>
          <w:iCs/>
          <w:sz w:val="24"/>
          <w:szCs w:val="24"/>
        </w:rPr>
      </w:pPr>
      <w:r w:rsidRPr="008F70E6">
        <w:rPr>
          <w:rFonts w:ascii="Times New Roman" w:hAnsi="Times New Roman" w:cs="Times New Roman"/>
          <w:b/>
          <w:iCs/>
          <w:sz w:val="24"/>
          <w:szCs w:val="24"/>
        </w:rPr>
        <w:t xml:space="preserve">Sample </w:t>
      </w:r>
      <w:r w:rsidR="008F70E6" w:rsidRPr="008F70E6">
        <w:rPr>
          <w:rFonts w:ascii="Times New Roman" w:hAnsi="Times New Roman" w:cs="Times New Roman"/>
          <w:b/>
          <w:iCs/>
          <w:sz w:val="24"/>
          <w:szCs w:val="24"/>
        </w:rPr>
        <w:t>Preparation</w:t>
      </w:r>
    </w:p>
    <w:p w14:paraId="78BE088D" w14:textId="4C34E3D1" w:rsidR="008F70E6" w:rsidRPr="008F70E6" w:rsidRDefault="008F70E6" w:rsidP="008F70E6">
      <w:pPr>
        <w:spacing w:after="0" w:line="360" w:lineRule="auto"/>
        <w:ind w:left="284"/>
        <w:jc w:val="both"/>
        <w:rPr>
          <w:rFonts w:ascii="Times New Roman" w:hAnsi="Times New Roman" w:cs="Times New Roman"/>
          <w:b/>
          <w:iCs/>
          <w:sz w:val="24"/>
          <w:szCs w:val="24"/>
        </w:rPr>
      </w:pPr>
      <w:r>
        <w:rPr>
          <w:rFonts w:ascii="Times New Roman" w:hAnsi="Times New Roman" w:cs="Times New Roman"/>
          <w:b/>
          <w:iCs/>
          <w:sz w:val="24"/>
          <w:szCs w:val="24"/>
        </w:rPr>
        <w:t>2.2.1 Sample collection</w:t>
      </w:r>
    </w:p>
    <w:p w14:paraId="45F492BB" w14:textId="72EA3EF2" w:rsidR="00334719" w:rsidRPr="00062C20" w:rsidRDefault="00730FAD" w:rsidP="00E97634">
      <w:pPr>
        <w:spacing w:after="0" w:line="360" w:lineRule="auto"/>
        <w:ind w:left="284"/>
        <w:jc w:val="both"/>
        <w:rPr>
          <w:rFonts w:ascii="Times New Roman" w:hAnsi="Times New Roman" w:cs="Times New Roman"/>
          <w:sz w:val="24"/>
          <w:szCs w:val="24"/>
        </w:rPr>
      </w:pPr>
      <w:r w:rsidRPr="00062C20">
        <w:rPr>
          <w:rFonts w:ascii="Times New Roman" w:hAnsi="Times New Roman" w:cs="Times New Roman"/>
          <w:bCs/>
          <w:iCs/>
          <w:sz w:val="24"/>
          <w:szCs w:val="24"/>
        </w:rPr>
        <w:t>The samples used in this study were blood and urine (biological samples) and pharmaceutical pills (prescribed by the doctor). The</w:t>
      </w:r>
      <w:r w:rsidR="00334719" w:rsidRPr="00062C20">
        <w:rPr>
          <w:rFonts w:ascii="Times New Roman" w:hAnsi="Times New Roman" w:cs="Times New Roman"/>
          <w:bCs/>
          <w:iCs/>
          <w:sz w:val="24"/>
          <w:szCs w:val="24"/>
        </w:rPr>
        <w:t xml:space="preserve"> biological samples (blood and urine) were donated by</w:t>
      </w:r>
      <w:r w:rsidRPr="00062C20">
        <w:rPr>
          <w:rFonts w:ascii="Times New Roman" w:hAnsi="Times New Roman" w:cs="Times New Roman"/>
          <w:bCs/>
          <w:iCs/>
          <w:sz w:val="24"/>
          <w:szCs w:val="24"/>
        </w:rPr>
        <w:t xml:space="preserve"> </w:t>
      </w:r>
      <w:r w:rsidR="00351BAA" w:rsidRPr="00062C20">
        <w:rPr>
          <w:rFonts w:ascii="Times New Roman" w:hAnsi="Times New Roman" w:cs="Times New Roman"/>
          <w:bCs/>
          <w:iCs/>
          <w:sz w:val="24"/>
          <w:szCs w:val="24"/>
        </w:rPr>
        <w:t xml:space="preserve">the </w:t>
      </w:r>
      <w:r w:rsidR="00E86A6E" w:rsidRPr="00062C20">
        <w:rPr>
          <w:rFonts w:ascii="Times New Roman" w:hAnsi="Times New Roman" w:cs="Times New Roman"/>
          <w:bCs/>
          <w:iCs/>
          <w:sz w:val="24"/>
          <w:szCs w:val="24"/>
        </w:rPr>
        <w:t>authors</w:t>
      </w:r>
      <w:r w:rsidRPr="00062C20">
        <w:rPr>
          <w:rFonts w:ascii="Times New Roman" w:hAnsi="Times New Roman" w:cs="Times New Roman"/>
          <w:bCs/>
          <w:iCs/>
          <w:sz w:val="24"/>
          <w:szCs w:val="24"/>
        </w:rPr>
        <w:t xml:space="preserve"> (aged 28-40 years)</w:t>
      </w:r>
      <w:r w:rsidR="00334719" w:rsidRPr="00062C20">
        <w:rPr>
          <w:rFonts w:ascii="Times New Roman" w:hAnsi="Times New Roman" w:cs="Times New Roman"/>
          <w:sz w:val="24"/>
          <w:szCs w:val="24"/>
        </w:rPr>
        <w:t xml:space="preserve">, and the pharmaceutical tablet </w:t>
      </w:r>
      <w:r w:rsidR="00DC4FD5" w:rsidRPr="00062C20">
        <w:rPr>
          <w:rFonts w:ascii="Times New Roman" w:hAnsi="Times New Roman" w:cs="Times New Roman"/>
          <w:sz w:val="24"/>
          <w:szCs w:val="24"/>
        </w:rPr>
        <w:t>(</w:t>
      </w:r>
      <w:r w:rsidR="00334719" w:rsidRPr="00062C20">
        <w:rPr>
          <w:rFonts w:ascii="Times New Roman" w:hAnsi="Times New Roman" w:cs="Times New Roman"/>
          <w:sz w:val="24"/>
          <w:szCs w:val="24"/>
        </w:rPr>
        <w:t>Risperidone 2 mg</w:t>
      </w:r>
      <w:r w:rsidR="00DC4FD5" w:rsidRPr="00062C20">
        <w:rPr>
          <w:rFonts w:ascii="Times New Roman" w:hAnsi="Times New Roman" w:cs="Times New Roman"/>
          <w:sz w:val="24"/>
          <w:szCs w:val="24"/>
        </w:rPr>
        <w:t>)</w:t>
      </w:r>
      <w:r w:rsidR="00334719" w:rsidRPr="00062C20">
        <w:rPr>
          <w:rFonts w:ascii="Times New Roman" w:hAnsi="Times New Roman" w:cs="Times New Roman"/>
          <w:sz w:val="24"/>
          <w:szCs w:val="24"/>
        </w:rPr>
        <w:t xml:space="preserve"> was bought from a pharmacy st</w:t>
      </w:r>
      <w:r w:rsidR="00803993">
        <w:rPr>
          <w:rFonts w:ascii="Times New Roman" w:hAnsi="Times New Roman" w:cs="Times New Roman"/>
          <w:sz w:val="24"/>
          <w:szCs w:val="24"/>
        </w:rPr>
        <w:t xml:space="preserve">ore in Greater Noida, India. </w:t>
      </w:r>
      <w:r w:rsidR="00334719" w:rsidRPr="00062C20">
        <w:rPr>
          <w:rFonts w:ascii="Times New Roman" w:hAnsi="Times New Roman" w:cs="Times New Roman"/>
          <w:sz w:val="24"/>
          <w:szCs w:val="24"/>
        </w:rPr>
        <w:t>These samples were utilized to develop and validate the methodolog</w:t>
      </w:r>
      <w:r w:rsidR="00DC4FD5" w:rsidRPr="00062C20">
        <w:rPr>
          <w:rFonts w:ascii="Times New Roman" w:hAnsi="Times New Roman" w:cs="Times New Roman"/>
          <w:sz w:val="24"/>
          <w:szCs w:val="24"/>
        </w:rPr>
        <w:t xml:space="preserve">ies, and </w:t>
      </w:r>
      <w:r w:rsidR="00D87030" w:rsidRPr="00062C20">
        <w:rPr>
          <w:rFonts w:ascii="Times New Roman" w:hAnsi="Times New Roman" w:cs="Times New Roman"/>
          <w:sz w:val="24"/>
          <w:szCs w:val="24"/>
        </w:rPr>
        <w:t xml:space="preserve">importantly, this study was conducted in accordance with the ethical </w:t>
      </w:r>
      <w:r w:rsidR="00DC4FD5" w:rsidRPr="00062C20">
        <w:rPr>
          <w:rFonts w:ascii="Times New Roman" w:hAnsi="Times New Roman" w:cs="Times New Roman"/>
          <w:sz w:val="24"/>
          <w:szCs w:val="24"/>
        </w:rPr>
        <w:t>guidelines of the Indian Council of Medical Research (ICMR), New Delhi</w:t>
      </w:r>
      <w:r w:rsidR="00D87030" w:rsidRPr="00062C20">
        <w:rPr>
          <w:rFonts w:ascii="Times New Roman" w:hAnsi="Times New Roman" w:cs="Times New Roman"/>
          <w:sz w:val="24"/>
          <w:szCs w:val="24"/>
        </w:rPr>
        <w:t xml:space="preserve">. The approval obtained from the </w:t>
      </w:r>
      <w:r w:rsidR="00DC4FD5" w:rsidRPr="00062C20">
        <w:rPr>
          <w:rFonts w:ascii="Times New Roman" w:hAnsi="Times New Roman" w:cs="Times New Roman"/>
          <w:sz w:val="24"/>
          <w:szCs w:val="24"/>
        </w:rPr>
        <w:t>Institutional Ethics Committee (Ref No</w:t>
      </w:r>
      <w:r w:rsidR="00AF19BE">
        <w:rPr>
          <w:rFonts w:ascii="Times New Roman" w:hAnsi="Times New Roman" w:cs="Times New Roman"/>
          <w:sz w:val="24"/>
          <w:szCs w:val="24"/>
        </w:rPr>
        <w:t xml:space="preserve">. </w:t>
      </w:r>
      <w:r w:rsidR="00AF19BE" w:rsidRPr="00710462">
        <w:rPr>
          <w:rFonts w:ascii="Times New Roman" w:hAnsi="Times New Roman" w:cs="Times New Roman"/>
          <w:sz w:val="24"/>
          <w:szCs w:val="24"/>
        </w:rPr>
        <w:t>SU/SMS&amp;R/76-A/2023/176</w:t>
      </w:r>
      <w:r w:rsidR="00DC4FD5" w:rsidRPr="00062C20">
        <w:rPr>
          <w:rFonts w:ascii="Times New Roman" w:hAnsi="Times New Roman" w:cs="Times New Roman"/>
          <w:sz w:val="24"/>
          <w:szCs w:val="24"/>
        </w:rPr>
        <w:t>)</w:t>
      </w:r>
      <w:r w:rsidR="00D87030" w:rsidRPr="00062C20">
        <w:rPr>
          <w:rFonts w:ascii="Times New Roman" w:hAnsi="Times New Roman" w:cs="Times New Roman"/>
          <w:sz w:val="24"/>
          <w:szCs w:val="24"/>
        </w:rPr>
        <w:t xml:space="preserve"> serves as a testament to the ethical scrutiny that guided the research process</w:t>
      </w:r>
      <w:r w:rsidR="00DC4FD5" w:rsidRPr="00062C20">
        <w:rPr>
          <w:rFonts w:ascii="Times New Roman" w:hAnsi="Times New Roman" w:cs="Times New Roman"/>
          <w:sz w:val="24"/>
          <w:szCs w:val="24"/>
        </w:rPr>
        <w:t>.</w:t>
      </w:r>
    </w:p>
    <w:p w14:paraId="27BD194D" w14:textId="77777777" w:rsidR="00265B52" w:rsidRDefault="00265B52" w:rsidP="00E97634">
      <w:pPr>
        <w:spacing w:after="0" w:line="360" w:lineRule="auto"/>
        <w:ind w:left="284"/>
        <w:jc w:val="both"/>
        <w:rPr>
          <w:rFonts w:ascii="Times New Roman" w:hAnsi="Times New Roman" w:cs="Times New Roman"/>
          <w:b/>
          <w:i/>
          <w:sz w:val="24"/>
          <w:szCs w:val="24"/>
        </w:rPr>
      </w:pPr>
    </w:p>
    <w:p w14:paraId="761B0B32" w14:textId="77777777" w:rsidR="00AF19BE" w:rsidRDefault="00AF19BE" w:rsidP="00E97634">
      <w:pPr>
        <w:spacing w:after="0" w:line="360" w:lineRule="auto"/>
        <w:ind w:left="284"/>
        <w:jc w:val="both"/>
        <w:rPr>
          <w:rFonts w:ascii="Times New Roman" w:hAnsi="Times New Roman" w:cs="Times New Roman"/>
          <w:b/>
          <w:i/>
          <w:sz w:val="24"/>
          <w:szCs w:val="24"/>
        </w:rPr>
      </w:pPr>
    </w:p>
    <w:p w14:paraId="5F8ABFB6" w14:textId="77777777" w:rsidR="00AF19BE" w:rsidRDefault="00AF19BE" w:rsidP="00E97634">
      <w:pPr>
        <w:spacing w:after="0" w:line="360" w:lineRule="auto"/>
        <w:ind w:left="284"/>
        <w:jc w:val="both"/>
        <w:rPr>
          <w:rFonts w:ascii="Times New Roman" w:hAnsi="Times New Roman" w:cs="Times New Roman"/>
          <w:b/>
          <w:i/>
          <w:sz w:val="24"/>
          <w:szCs w:val="24"/>
        </w:rPr>
      </w:pPr>
    </w:p>
    <w:p w14:paraId="629E6D21" w14:textId="2905386B" w:rsidR="008F70E6" w:rsidRPr="00062C20" w:rsidRDefault="001455D4" w:rsidP="008F70E6">
      <w:pPr>
        <w:spacing w:after="0" w:line="360" w:lineRule="auto"/>
        <w:ind w:left="284"/>
        <w:jc w:val="both"/>
        <w:rPr>
          <w:rFonts w:ascii="Times New Roman" w:hAnsi="Times New Roman" w:cs="Times New Roman"/>
          <w:b/>
          <w:iCs/>
          <w:sz w:val="24"/>
          <w:szCs w:val="24"/>
        </w:rPr>
      </w:pPr>
      <w:r w:rsidRPr="00062C20">
        <w:rPr>
          <w:rFonts w:ascii="Times New Roman" w:hAnsi="Times New Roman" w:cs="Times New Roman"/>
          <w:b/>
          <w:iCs/>
          <w:sz w:val="24"/>
          <w:szCs w:val="24"/>
        </w:rPr>
        <w:lastRenderedPageBreak/>
        <w:t>2.2.</w:t>
      </w:r>
      <w:r w:rsidR="008F70E6">
        <w:rPr>
          <w:rFonts w:ascii="Times New Roman" w:hAnsi="Times New Roman" w:cs="Times New Roman"/>
          <w:b/>
          <w:iCs/>
          <w:sz w:val="24"/>
          <w:szCs w:val="24"/>
        </w:rPr>
        <w:t>2</w:t>
      </w:r>
      <w:r w:rsidRPr="00062C20">
        <w:rPr>
          <w:rFonts w:ascii="Times New Roman" w:hAnsi="Times New Roman" w:cs="Times New Roman"/>
          <w:b/>
          <w:iCs/>
          <w:sz w:val="24"/>
          <w:szCs w:val="24"/>
        </w:rPr>
        <w:t xml:space="preserve"> </w:t>
      </w:r>
      <w:r w:rsidR="00265B52" w:rsidRPr="00062C20">
        <w:rPr>
          <w:rFonts w:ascii="Times New Roman" w:hAnsi="Times New Roman" w:cs="Times New Roman"/>
          <w:b/>
          <w:iCs/>
          <w:sz w:val="24"/>
          <w:szCs w:val="24"/>
        </w:rPr>
        <w:t xml:space="preserve">Sample </w:t>
      </w:r>
      <w:r w:rsidR="008F70E6">
        <w:rPr>
          <w:rFonts w:ascii="Times New Roman" w:hAnsi="Times New Roman" w:cs="Times New Roman"/>
          <w:b/>
          <w:iCs/>
          <w:sz w:val="24"/>
          <w:szCs w:val="24"/>
        </w:rPr>
        <w:t>fortification and method development</w:t>
      </w:r>
    </w:p>
    <w:p w14:paraId="4AE3056A" w14:textId="5B62F700" w:rsidR="00DC4FD5" w:rsidRPr="00062C20" w:rsidRDefault="00265B52" w:rsidP="00E97634">
      <w:pPr>
        <w:spacing w:after="0" w:line="360" w:lineRule="auto"/>
        <w:ind w:left="284"/>
        <w:jc w:val="both"/>
        <w:rPr>
          <w:rFonts w:ascii="Times New Roman" w:hAnsi="Times New Roman" w:cs="Times New Roman"/>
          <w:b/>
          <w:iCs/>
          <w:sz w:val="24"/>
          <w:szCs w:val="24"/>
        </w:rPr>
      </w:pPr>
      <w:r w:rsidRPr="00062C20">
        <w:rPr>
          <w:rFonts w:ascii="Times New Roman" w:hAnsi="Times New Roman" w:cs="Times New Roman"/>
          <w:b/>
          <w:iCs/>
          <w:sz w:val="24"/>
          <w:szCs w:val="24"/>
        </w:rPr>
        <w:t>Blood Sample</w:t>
      </w:r>
    </w:p>
    <w:p w14:paraId="07D0649E" w14:textId="49F25001" w:rsidR="000C09D5" w:rsidRDefault="00D656CA" w:rsidP="00AF19BE">
      <w:pPr>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First, 0.5 mL of the blood sample was spiked with 15 µL of the RSP stock solution and deproteinized by mixing with 1 mL of methanol/acetonitrile. The mixture was centrifuged </w:t>
      </w:r>
      <w:r w:rsidR="00587035">
        <w:rPr>
          <w:rFonts w:ascii="Times New Roman" w:hAnsi="Times New Roman" w:cs="Times New Roman"/>
          <w:sz w:val="24"/>
          <w:szCs w:val="24"/>
        </w:rPr>
        <w:t>at 5000 rpm for 5 minutes</w:t>
      </w:r>
      <w:r>
        <w:rPr>
          <w:rFonts w:ascii="Times New Roman" w:hAnsi="Times New Roman" w:cs="Times New Roman"/>
          <w:sz w:val="24"/>
          <w:szCs w:val="24"/>
        </w:rPr>
        <w:t>, and the serum was transferred to another tube. For UA-DLLME TLC image analysis, 0.5 mL of the deproteinized sample was transferred to a new tube and diluted to 5 mL with ultrapure water</w:t>
      </w:r>
      <w:r w:rsidR="00831D9A">
        <w:rPr>
          <w:rFonts w:ascii="Times New Roman" w:hAnsi="Times New Roman" w:cs="Times New Roman"/>
          <w:sz w:val="24"/>
          <w:szCs w:val="24"/>
        </w:rPr>
        <w:t xml:space="preserve"> (fig 1)</w:t>
      </w:r>
      <w:r>
        <w:rPr>
          <w:rFonts w:ascii="Times New Roman" w:hAnsi="Times New Roman" w:cs="Times New Roman"/>
          <w:sz w:val="24"/>
          <w:szCs w:val="24"/>
        </w:rPr>
        <w:t>.</w:t>
      </w:r>
    </w:p>
    <w:p w14:paraId="1408C666" w14:textId="77777777" w:rsidR="00AF19BE" w:rsidRDefault="00AF19BE" w:rsidP="000C09D5">
      <w:pPr>
        <w:spacing w:after="0" w:line="360" w:lineRule="auto"/>
        <w:ind w:left="284"/>
        <w:jc w:val="center"/>
        <w:rPr>
          <w:rFonts w:ascii="Times New Roman" w:hAnsi="Times New Roman" w:cs="Times New Roman"/>
          <w:sz w:val="24"/>
          <w:szCs w:val="24"/>
        </w:rPr>
      </w:pPr>
      <w:r w:rsidRPr="009D5D15">
        <w:rPr>
          <w:rFonts w:ascii="Times New Roman" w:hAnsi="Times New Roman" w:cs="Times New Roman"/>
          <w:bCs/>
          <w:i/>
          <w:noProof/>
          <w:sz w:val="24"/>
          <w:szCs w:val="24"/>
          <w:lang w:bidi="hi-IN"/>
        </w:rPr>
        <w:drawing>
          <wp:inline distT="0" distB="0" distL="0" distR="0" wp14:anchorId="7A5C9573" wp14:editId="4066EE64">
            <wp:extent cx="4939146" cy="1785004"/>
            <wp:effectExtent l="0" t="0" r="0" b="0"/>
            <wp:docPr id="1493509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509365" name=""/>
                    <pic:cNvPicPr/>
                  </pic:nvPicPr>
                  <pic:blipFill>
                    <a:blip r:embed="rId8">
                      <a:extLst>
                        <a:ext uri="{28A0092B-C50C-407E-A947-70E740481C1C}">
                          <a14:useLocalDpi xmlns:a14="http://schemas.microsoft.com/office/drawing/2010/main" val="0"/>
                        </a:ext>
                      </a:extLst>
                    </a:blip>
                    <a:stretch>
                      <a:fillRect/>
                    </a:stretch>
                  </pic:blipFill>
                  <pic:spPr>
                    <a:xfrm>
                      <a:off x="0" y="0"/>
                      <a:ext cx="4961030" cy="1792913"/>
                    </a:xfrm>
                    <a:prstGeom prst="rect">
                      <a:avLst/>
                    </a:prstGeom>
                  </pic:spPr>
                </pic:pic>
              </a:graphicData>
            </a:graphic>
          </wp:inline>
        </w:drawing>
      </w:r>
    </w:p>
    <w:p w14:paraId="071837F0" w14:textId="2FAFE117" w:rsidR="00B62C4F" w:rsidRPr="00062C20" w:rsidRDefault="000C09D5" w:rsidP="00AF19BE">
      <w:pPr>
        <w:spacing w:after="0" w:line="360" w:lineRule="auto"/>
        <w:ind w:left="284"/>
        <w:jc w:val="center"/>
        <w:rPr>
          <w:rFonts w:ascii="Times New Roman" w:hAnsi="Times New Roman" w:cs="Times New Roman"/>
          <w:sz w:val="24"/>
          <w:szCs w:val="24"/>
        </w:rPr>
      </w:pPr>
      <w:r>
        <w:rPr>
          <w:rFonts w:ascii="Times New Roman" w:hAnsi="Times New Roman" w:cs="Times New Roman"/>
          <w:sz w:val="24"/>
          <w:szCs w:val="24"/>
        </w:rPr>
        <w:t>Figure 1: Purification of the blood sample.</w:t>
      </w:r>
      <w:r>
        <w:rPr>
          <w:rFonts w:ascii="Times New Roman" w:hAnsi="Times New Roman" w:cs="Times New Roman"/>
          <w:sz w:val="24"/>
          <w:szCs w:val="24"/>
        </w:rPr>
        <w:br w:type="textWrapping" w:clear="all"/>
      </w:r>
    </w:p>
    <w:p w14:paraId="7F022AE0" w14:textId="77777777" w:rsidR="00265B52" w:rsidRPr="00062C20" w:rsidRDefault="00265B52" w:rsidP="00E97634">
      <w:pPr>
        <w:spacing w:after="0" w:line="360" w:lineRule="auto"/>
        <w:ind w:left="284"/>
        <w:jc w:val="both"/>
        <w:rPr>
          <w:rFonts w:ascii="Times New Roman" w:hAnsi="Times New Roman" w:cs="Times New Roman"/>
          <w:b/>
          <w:bCs/>
          <w:sz w:val="24"/>
          <w:szCs w:val="24"/>
        </w:rPr>
      </w:pPr>
      <w:r w:rsidRPr="00062C20">
        <w:rPr>
          <w:rFonts w:ascii="Times New Roman" w:hAnsi="Times New Roman" w:cs="Times New Roman"/>
          <w:b/>
          <w:bCs/>
          <w:sz w:val="24"/>
          <w:szCs w:val="24"/>
        </w:rPr>
        <w:t>Urine sample</w:t>
      </w:r>
    </w:p>
    <w:p w14:paraId="3810028B" w14:textId="593E65DC" w:rsidR="00587035" w:rsidRPr="00062C20" w:rsidRDefault="00265B52" w:rsidP="00587035">
      <w:pPr>
        <w:spacing w:after="0" w:line="360" w:lineRule="auto"/>
        <w:ind w:left="284"/>
        <w:jc w:val="both"/>
        <w:rPr>
          <w:rFonts w:ascii="Times New Roman" w:hAnsi="Times New Roman" w:cs="Times New Roman"/>
          <w:sz w:val="24"/>
          <w:szCs w:val="24"/>
        </w:rPr>
      </w:pPr>
      <w:r w:rsidRPr="00062C20">
        <w:rPr>
          <w:rFonts w:ascii="Times New Roman" w:hAnsi="Times New Roman" w:cs="Times New Roman"/>
          <w:sz w:val="24"/>
          <w:szCs w:val="24"/>
        </w:rPr>
        <w:t>0.</w:t>
      </w:r>
      <w:r w:rsidR="00CC3BB2">
        <w:rPr>
          <w:rFonts w:ascii="Times New Roman" w:hAnsi="Times New Roman" w:cs="Times New Roman"/>
          <w:sz w:val="24"/>
          <w:szCs w:val="24"/>
        </w:rPr>
        <w:t>5 mL of the urine sample was transferred into a tube and diluted to 5 mL with ultrapure water. This sample was spiked with 15 µL of the stock solution of RSP, vortexed for 3-5 minutes, and then used for UA-DLLME TLC image analysis</w:t>
      </w:r>
      <w:r w:rsidR="00831D9A">
        <w:rPr>
          <w:rFonts w:ascii="Times New Roman" w:hAnsi="Times New Roman" w:cs="Times New Roman"/>
          <w:sz w:val="24"/>
          <w:szCs w:val="24"/>
        </w:rPr>
        <w:t xml:space="preserve"> (fig 2)</w:t>
      </w:r>
      <w:r w:rsidR="00CC3BB2">
        <w:rPr>
          <w:rFonts w:ascii="Times New Roman" w:hAnsi="Times New Roman" w:cs="Times New Roman"/>
          <w:sz w:val="24"/>
          <w:szCs w:val="24"/>
        </w:rPr>
        <w:t>.</w:t>
      </w:r>
    </w:p>
    <w:p w14:paraId="4E40F439" w14:textId="77777777" w:rsidR="00265B52" w:rsidRDefault="00265B52" w:rsidP="00E97634">
      <w:pPr>
        <w:spacing w:after="0" w:line="360" w:lineRule="auto"/>
        <w:ind w:left="284"/>
        <w:jc w:val="both"/>
        <w:rPr>
          <w:rFonts w:ascii="Times New Roman" w:hAnsi="Times New Roman" w:cs="Times New Roman"/>
          <w:sz w:val="24"/>
          <w:szCs w:val="24"/>
        </w:rPr>
      </w:pPr>
    </w:p>
    <w:p w14:paraId="2F33EB6A" w14:textId="63FF9E26" w:rsidR="00CB478A" w:rsidRDefault="00CB478A" w:rsidP="00CB478A">
      <w:pPr>
        <w:spacing w:after="0" w:line="360" w:lineRule="auto"/>
        <w:ind w:left="284"/>
        <w:jc w:val="center"/>
        <w:rPr>
          <w:rFonts w:ascii="Times New Roman" w:hAnsi="Times New Roman" w:cs="Times New Roman"/>
          <w:sz w:val="24"/>
          <w:szCs w:val="24"/>
        </w:rPr>
      </w:pPr>
      <w:r w:rsidRPr="00BC5A72">
        <w:rPr>
          <w:rFonts w:ascii="Times New Roman" w:hAnsi="Times New Roman" w:cs="Times New Roman"/>
          <w:bCs/>
          <w:i/>
          <w:noProof/>
          <w:sz w:val="24"/>
          <w:szCs w:val="24"/>
          <w:lang w:bidi="hi-IN"/>
        </w:rPr>
        <w:drawing>
          <wp:inline distT="0" distB="0" distL="0" distR="0" wp14:anchorId="60630234" wp14:editId="257EDD86">
            <wp:extent cx="4184072" cy="1893653"/>
            <wp:effectExtent l="0" t="0" r="0" b="0"/>
            <wp:docPr id="1700390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390759" name=""/>
                    <pic:cNvPicPr/>
                  </pic:nvPicPr>
                  <pic:blipFill rotWithShape="1">
                    <a:blip r:embed="rId9"/>
                    <a:srcRect t="12083" b="6941"/>
                    <a:stretch>
                      <a:fillRect/>
                    </a:stretch>
                  </pic:blipFill>
                  <pic:spPr bwMode="auto">
                    <a:xfrm>
                      <a:off x="0" y="0"/>
                      <a:ext cx="4238548" cy="1918308"/>
                    </a:xfrm>
                    <a:prstGeom prst="rect">
                      <a:avLst/>
                    </a:prstGeom>
                    <a:ln>
                      <a:noFill/>
                    </a:ln>
                    <a:extLst>
                      <a:ext uri="{53640926-AAD7-44D8-BBD7-CCE9431645EC}">
                        <a14:shadowObscured xmlns:a14="http://schemas.microsoft.com/office/drawing/2010/main"/>
                      </a:ext>
                    </a:extLst>
                  </pic:spPr>
                </pic:pic>
              </a:graphicData>
            </a:graphic>
          </wp:inline>
        </w:drawing>
      </w:r>
    </w:p>
    <w:p w14:paraId="2C1DBE1F" w14:textId="2637A09C" w:rsidR="000C09D5" w:rsidRPr="00062C20" w:rsidRDefault="000C09D5" w:rsidP="00CB478A">
      <w:pPr>
        <w:spacing w:after="0" w:line="360" w:lineRule="auto"/>
        <w:ind w:left="284"/>
        <w:jc w:val="center"/>
        <w:rPr>
          <w:rFonts w:ascii="Times New Roman" w:hAnsi="Times New Roman" w:cs="Times New Roman"/>
          <w:sz w:val="24"/>
          <w:szCs w:val="24"/>
        </w:rPr>
      </w:pPr>
      <w:r>
        <w:rPr>
          <w:rFonts w:ascii="Times New Roman" w:hAnsi="Times New Roman" w:cs="Times New Roman"/>
          <w:sz w:val="24"/>
          <w:szCs w:val="24"/>
        </w:rPr>
        <w:t>Figure 2: Purification of the urine sample.</w:t>
      </w:r>
    </w:p>
    <w:p w14:paraId="1194C102" w14:textId="561F4B25" w:rsidR="00265B52" w:rsidRPr="00062C20" w:rsidRDefault="00265B52" w:rsidP="004C05BE">
      <w:pPr>
        <w:spacing w:after="0" w:line="360" w:lineRule="auto"/>
        <w:ind w:firstLine="284"/>
        <w:jc w:val="both"/>
        <w:rPr>
          <w:rFonts w:ascii="Times New Roman" w:hAnsi="Times New Roman" w:cs="Times New Roman"/>
          <w:b/>
          <w:bCs/>
          <w:sz w:val="24"/>
          <w:szCs w:val="24"/>
        </w:rPr>
      </w:pPr>
      <w:r w:rsidRPr="00062C20">
        <w:rPr>
          <w:rFonts w:ascii="Times New Roman" w:hAnsi="Times New Roman" w:cs="Times New Roman"/>
          <w:b/>
          <w:bCs/>
          <w:sz w:val="24"/>
          <w:szCs w:val="24"/>
        </w:rPr>
        <w:lastRenderedPageBreak/>
        <w:t>Pill sample</w:t>
      </w:r>
    </w:p>
    <w:p w14:paraId="135365C4" w14:textId="61119FC9" w:rsidR="00587035" w:rsidRDefault="00CC3BB2" w:rsidP="009123C2">
      <w:pPr>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Ten tablets of RSP (2 mg each) were ground into a fine powder. The amount was measured based on the weight of one tablet. Two mL of ultrapure water was used to dissolve the powder, which was then ultrasonicated for 10 minutes and centrifuged for 5 minutes. The resulting RSP solution was collected and used to fortify 5 mL of ultrapure water for UA-DLLME TLC image analysis</w:t>
      </w:r>
      <w:r w:rsidR="00831D9A">
        <w:rPr>
          <w:rFonts w:ascii="Times New Roman" w:hAnsi="Times New Roman" w:cs="Times New Roman"/>
          <w:sz w:val="24"/>
          <w:szCs w:val="24"/>
        </w:rPr>
        <w:t xml:space="preserve"> (fig 3)</w:t>
      </w:r>
      <w:r>
        <w:rPr>
          <w:rFonts w:ascii="Times New Roman" w:hAnsi="Times New Roman" w:cs="Times New Roman"/>
          <w:sz w:val="24"/>
          <w:szCs w:val="24"/>
        </w:rPr>
        <w:t>.</w:t>
      </w:r>
    </w:p>
    <w:p w14:paraId="35B2EE82" w14:textId="77777777" w:rsidR="009123C2" w:rsidRPr="00587035" w:rsidRDefault="009123C2" w:rsidP="009123C2">
      <w:pPr>
        <w:spacing w:after="0" w:line="360" w:lineRule="auto"/>
        <w:ind w:left="284"/>
        <w:jc w:val="both"/>
        <w:rPr>
          <w:rFonts w:ascii="Times New Roman" w:hAnsi="Times New Roman" w:cs="Times New Roman"/>
          <w:sz w:val="24"/>
          <w:szCs w:val="24"/>
        </w:rPr>
      </w:pPr>
    </w:p>
    <w:p w14:paraId="4C0EFBAA" w14:textId="04230F76" w:rsidR="009D5D15" w:rsidRDefault="00150C7A" w:rsidP="00AF19BE">
      <w:pPr>
        <w:spacing w:after="0" w:line="360" w:lineRule="auto"/>
        <w:jc w:val="center"/>
        <w:rPr>
          <w:rFonts w:ascii="Times New Roman" w:hAnsi="Times New Roman" w:cs="Times New Roman"/>
          <w:bCs/>
          <w:i/>
          <w:sz w:val="24"/>
          <w:szCs w:val="24"/>
        </w:rPr>
      </w:pPr>
      <w:r w:rsidRPr="00150C7A">
        <w:rPr>
          <w:rFonts w:ascii="Times New Roman" w:hAnsi="Times New Roman" w:cs="Times New Roman"/>
          <w:bCs/>
          <w:i/>
          <w:noProof/>
          <w:sz w:val="24"/>
          <w:szCs w:val="24"/>
          <w:lang w:bidi="hi-IN"/>
        </w:rPr>
        <w:drawing>
          <wp:inline distT="0" distB="0" distL="0" distR="0" wp14:anchorId="5014D831" wp14:editId="1A51231E">
            <wp:extent cx="5971309" cy="1954492"/>
            <wp:effectExtent l="0" t="0" r="0" b="0"/>
            <wp:docPr id="2055154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154343" name=""/>
                    <pic:cNvPicPr/>
                  </pic:nvPicPr>
                  <pic:blipFill>
                    <a:blip r:embed="rId10"/>
                    <a:stretch>
                      <a:fillRect/>
                    </a:stretch>
                  </pic:blipFill>
                  <pic:spPr>
                    <a:xfrm>
                      <a:off x="0" y="0"/>
                      <a:ext cx="5993842" cy="1961867"/>
                    </a:xfrm>
                    <a:prstGeom prst="rect">
                      <a:avLst/>
                    </a:prstGeom>
                  </pic:spPr>
                </pic:pic>
              </a:graphicData>
            </a:graphic>
          </wp:inline>
        </w:drawing>
      </w:r>
    </w:p>
    <w:p w14:paraId="65374D4C" w14:textId="124B2390" w:rsidR="0067698F" w:rsidRDefault="000C09D5" w:rsidP="00587035">
      <w:pPr>
        <w:spacing w:after="0" w:line="360" w:lineRule="auto"/>
        <w:jc w:val="center"/>
        <w:rPr>
          <w:rFonts w:ascii="Times New Roman" w:hAnsi="Times New Roman" w:cs="Times New Roman"/>
          <w:bCs/>
          <w:iCs/>
          <w:sz w:val="24"/>
          <w:szCs w:val="24"/>
        </w:rPr>
      </w:pPr>
      <w:r w:rsidRPr="000C09D5">
        <w:rPr>
          <w:rFonts w:ascii="Times New Roman" w:hAnsi="Times New Roman" w:cs="Times New Roman"/>
          <w:bCs/>
          <w:iCs/>
          <w:sz w:val="24"/>
          <w:szCs w:val="24"/>
        </w:rPr>
        <w:t xml:space="preserve">Figure </w:t>
      </w:r>
      <w:r>
        <w:rPr>
          <w:rFonts w:ascii="Times New Roman" w:hAnsi="Times New Roman" w:cs="Times New Roman"/>
          <w:bCs/>
          <w:iCs/>
          <w:sz w:val="24"/>
          <w:szCs w:val="24"/>
        </w:rPr>
        <w:t>3</w:t>
      </w:r>
      <w:r w:rsidRPr="000C09D5">
        <w:rPr>
          <w:rFonts w:ascii="Times New Roman" w:hAnsi="Times New Roman" w:cs="Times New Roman"/>
          <w:bCs/>
          <w:iCs/>
          <w:sz w:val="24"/>
          <w:szCs w:val="24"/>
        </w:rPr>
        <w:t xml:space="preserve">: Purification of the </w:t>
      </w:r>
      <w:r>
        <w:rPr>
          <w:rFonts w:ascii="Times New Roman" w:hAnsi="Times New Roman" w:cs="Times New Roman"/>
          <w:bCs/>
          <w:iCs/>
          <w:sz w:val="24"/>
          <w:szCs w:val="24"/>
        </w:rPr>
        <w:t>pill</w:t>
      </w:r>
      <w:r w:rsidRPr="000C09D5">
        <w:rPr>
          <w:rFonts w:ascii="Times New Roman" w:hAnsi="Times New Roman" w:cs="Times New Roman"/>
          <w:bCs/>
          <w:iCs/>
          <w:sz w:val="24"/>
          <w:szCs w:val="24"/>
        </w:rPr>
        <w:t xml:space="preserve"> sample.</w:t>
      </w:r>
    </w:p>
    <w:p w14:paraId="0399138C" w14:textId="77777777" w:rsidR="00587035" w:rsidRPr="00587035" w:rsidRDefault="00587035" w:rsidP="00587035">
      <w:pPr>
        <w:spacing w:after="0" w:line="360" w:lineRule="auto"/>
        <w:jc w:val="center"/>
        <w:rPr>
          <w:rFonts w:ascii="Times New Roman" w:hAnsi="Times New Roman" w:cs="Times New Roman"/>
          <w:bCs/>
          <w:iCs/>
          <w:sz w:val="24"/>
          <w:szCs w:val="24"/>
        </w:rPr>
      </w:pPr>
    </w:p>
    <w:p w14:paraId="6F088121" w14:textId="10A40358" w:rsidR="00DC4FD5" w:rsidRPr="00062C20" w:rsidRDefault="001455D4" w:rsidP="00E97634">
      <w:pPr>
        <w:spacing w:after="0" w:line="360" w:lineRule="auto"/>
        <w:jc w:val="both"/>
        <w:rPr>
          <w:rFonts w:ascii="Times New Roman" w:hAnsi="Times New Roman" w:cs="Times New Roman"/>
          <w:b/>
          <w:iCs/>
          <w:sz w:val="24"/>
          <w:szCs w:val="24"/>
        </w:rPr>
      </w:pPr>
      <w:r w:rsidRPr="00062C20">
        <w:rPr>
          <w:rFonts w:ascii="Times New Roman" w:hAnsi="Times New Roman" w:cs="Times New Roman"/>
          <w:b/>
          <w:iCs/>
          <w:sz w:val="24"/>
          <w:szCs w:val="24"/>
        </w:rPr>
        <w:t>2.</w:t>
      </w:r>
      <w:r w:rsidR="008F70E6">
        <w:rPr>
          <w:rFonts w:ascii="Times New Roman" w:hAnsi="Times New Roman" w:cs="Times New Roman"/>
          <w:b/>
          <w:iCs/>
          <w:sz w:val="24"/>
          <w:szCs w:val="24"/>
        </w:rPr>
        <w:t>2.</w:t>
      </w:r>
      <w:r w:rsidRPr="00062C20">
        <w:rPr>
          <w:rFonts w:ascii="Times New Roman" w:hAnsi="Times New Roman" w:cs="Times New Roman"/>
          <w:b/>
          <w:iCs/>
          <w:sz w:val="24"/>
          <w:szCs w:val="24"/>
        </w:rPr>
        <w:t xml:space="preserve">3 </w:t>
      </w:r>
      <w:proofErr w:type="spellStart"/>
      <w:r w:rsidR="00DC4FD5" w:rsidRPr="00062C20">
        <w:rPr>
          <w:rFonts w:ascii="Times New Roman" w:hAnsi="Times New Roman" w:cs="Times New Roman"/>
          <w:b/>
          <w:iCs/>
          <w:sz w:val="24"/>
          <w:szCs w:val="24"/>
        </w:rPr>
        <w:t>Ultrasonicator</w:t>
      </w:r>
      <w:proofErr w:type="spellEnd"/>
      <w:r w:rsidR="00DC4FD5" w:rsidRPr="00062C20">
        <w:rPr>
          <w:rFonts w:ascii="Times New Roman" w:hAnsi="Times New Roman" w:cs="Times New Roman"/>
          <w:b/>
          <w:iCs/>
          <w:sz w:val="24"/>
          <w:szCs w:val="24"/>
        </w:rPr>
        <w:t>-assisted Dispersive Liquid-Liquid Micro-Extraction</w:t>
      </w:r>
    </w:p>
    <w:p w14:paraId="24EFFA79" w14:textId="0439D40E" w:rsidR="004866A7" w:rsidRDefault="00A95C4C" w:rsidP="003834D1">
      <w:pPr>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The purified and fortified samples of blood and urine, along with the </w:t>
      </w:r>
      <w:r w:rsidR="005117B4">
        <w:rPr>
          <w:rFonts w:ascii="Times New Roman" w:hAnsi="Times New Roman" w:cs="Times New Roman"/>
          <w:sz w:val="24"/>
          <w:szCs w:val="24"/>
        </w:rPr>
        <w:t xml:space="preserve">pill </w:t>
      </w:r>
      <w:r>
        <w:rPr>
          <w:rFonts w:ascii="Times New Roman" w:hAnsi="Times New Roman" w:cs="Times New Roman"/>
          <w:sz w:val="24"/>
          <w:szCs w:val="24"/>
        </w:rPr>
        <w:t>sample of ultrapure water with pill solution</w:t>
      </w:r>
      <w:r w:rsidR="006D0659">
        <w:rPr>
          <w:rFonts w:ascii="Times New Roman" w:hAnsi="Times New Roman" w:cs="Times New Roman"/>
          <w:sz w:val="24"/>
          <w:szCs w:val="24"/>
        </w:rPr>
        <w:t>,</w:t>
      </w:r>
      <w:r>
        <w:rPr>
          <w:rFonts w:ascii="Times New Roman" w:hAnsi="Times New Roman" w:cs="Times New Roman"/>
          <w:sz w:val="24"/>
          <w:szCs w:val="24"/>
        </w:rPr>
        <w:t xml:space="preserve"> were </w:t>
      </w:r>
      <w:r w:rsidR="006D0659">
        <w:rPr>
          <w:rFonts w:ascii="Times New Roman" w:hAnsi="Times New Roman" w:cs="Times New Roman"/>
          <w:sz w:val="24"/>
          <w:szCs w:val="24"/>
        </w:rPr>
        <w:t>used</w:t>
      </w:r>
      <w:r>
        <w:rPr>
          <w:rFonts w:ascii="Times New Roman" w:hAnsi="Times New Roman" w:cs="Times New Roman"/>
          <w:sz w:val="24"/>
          <w:szCs w:val="24"/>
        </w:rPr>
        <w:t>.</w:t>
      </w:r>
      <w:r w:rsidR="00622FAF">
        <w:rPr>
          <w:rFonts w:ascii="Times New Roman" w:hAnsi="Times New Roman" w:cs="Times New Roman"/>
          <w:sz w:val="24"/>
          <w:szCs w:val="24"/>
        </w:rPr>
        <w:t xml:space="preserve"> Then</w:t>
      </w:r>
      <w:r w:rsidR="001332A7" w:rsidRPr="00062C20">
        <w:rPr>
          <w:rFonts w:ascii="Times New Roman" w:hAnsi="Times New Roman" w:cs="Times New Roman"/>
          <w:sz w:val="24"/>
          <w:szCs w:val="24"/>
        </w:rPr>
        <w:t xml:space="preserve"> the pH of </w:t>
      </w:r>
      <w:r w:rsidR="00E6691E">
        <w:rPr>
          <w:rFonts w:ascii="Times New Roman" w:hAnsi="Times New Roman" w:cs="Times New Roman"/>
          <w:sz w:val="24"/>
          <w:szCs w:val="24"/>
        </w:rPr>
        <w:t>these</w:t>
      </w:r>
      <w:r w:rsidR="001332A7" w:rsidRPr="00062C20">
        <w:rPr>
          <w:rFonts w:ascii="Times New Roman" w:hAnsi="Times New Roman" w:cs="Times New Roman"/>
          <w:sz w:val="24"/>
          <w:szCs w:val="24"/>
        </w:rPr>
        <w:t xml:space="preserve"> sample</w:t>
      </w:r>
      <w:r w:rsidR="00E6691E">
        <w:rPr>
          <w:rFonts w:ascii="Times New Roman" w:hAnsi="Times New Roman" w:cs="Times New Roman"/>
          <w:sz w:val="24"/>
          <w:szCs w:val="24"/>
        </w:rPr>
        <w:t>s</w:t>
      </w:r>
      <w:r w:rsidR="001332A7" w:rsidRPr="00062C20">
        <w:rPr>
          <w:rFonts w:ascii="Times New Roman" w:hAnsi="Times New Roman" w:cs="Times New Roman"/>
          <w:sz w:val="24"/>
          <w:szCs w:val="24"/>
        </w:rPr>
        <w:t xml:space="preserve"> </w:t>
      </w:r>
      <w:r w:rsidR="00622FAF">
        <w:rPr>
          <w:rFonts w:ascii="Times New Roman" w:hAnsi="Times New Roman" w:cs="Times New Roman"/>
          <w:sz w:val="24"/>
          <w:szCs w:val="24"/>
        </w:rPr>
        <w:t>was adjusted</w:t>
      </w:r>
      <w:r w:rsidR="001332A7" w:rsidRPr="00062C20">
        <w:rPr>
          <w:rFonts w:ascii="Times New Roman" w:hAnsi="Times New Roman" w:cs="Times New Roman"/>
          <w:sz w:val="24"/>
          <w:szCs w:val="24"/>
        </w:rPr>
        <w:t xml:space="preserve"> by adding a few drops of hydrochloric acid/ sodium hydroxide solutions to get </w:t>
      </w:r>
      <w:r w:rsidR="00622FAF">
        <w:rPr>
          <w:rFonts w:ascii="Times New Roman" w:hAnsi="Times New Roman" w:cs="Times New Roman"/>
          <w:sz w:val="24"/>
          <w:szCs w:val="24"/>
        </w:rPr>
        <w:t>a</w:t>
      </w:r>
      <w:r w:rsidR="001332A7" w:rsidRPr="00062C20">
        <w:rPr>
          <w:rFonts w:ascii="Times New Roman" w:hAnsi="Times New Roman" w:cs="Times New Roman"/>
          <w:sz w:val="24"/>
          <w:szCs w:val="24"/>
        </w:rPr>
        <w:t xml:space="preserve"> pH </w:t>
      </w:r>
      <w:r w:rsidR="00622FAF">
        <w:rPr>
          <w:rFonts w:ascii="Times New Roman" w:hAnsi="Times New Roman" w:cs="Times New Roman"/>
          <w:sz w:val="24"/>
          <w:szCs w:val="24"/>
        </w:rPr>
        <w:t>of 10</w:t>
      </w:r>
      <w:r w:rsidR="001332A7" w:rsidRPr="00062C20">
        <w:rPr>
          <w:rFonts w:ascii="Times New Roman" w:hAnsi="Times New Roman" w:cs="Times New Roman"/>
          <w:sz w:val="24"/>
          <w:szCs w:val="24"/>
        </w:rPr>
        <w:t xml:space="preserve">. Now, the mixture of extraction solvent </w:t>
      </w:r>
      <w:r w:rsidR="00E6691E">
        <w:rPr>
          <w:rFonts w:ascii="Times New Roman" w:hAnsi="Times New Roman" w:cs="Times New Roman"/>
          <w:sz w:val="24"/>
          <w:szCs w:val="24"/>
        </w:rPr>
        <w:t xml:space="preserve">(trichloroethylene, 100 </w:t>
      </w:r>
      <w:r w:rsidR="00E6691E" w:rsidRPr="00062C20">
        <w:rPr>
          <w:rFonts w:ascii="Times New Roman" w:hAnsi="Times New Roman" w:cs="Times New Roman"/>
          <w:sz w:val="24"/>
          <w:szCs w:val="24"/>
        </w:rPr>
        <w:t>µL</w:t>
      </w:r>
      <w:r w:rsidR="001332A7" w:rsidRPr="00062C20">
        <w:rPr>
          <w:rFonts w:ascii="Times New Roman" w:hAnsi="Times New Roman" w:cs="Times New Roman"/>
          <w:sz w:val="24"/>
          <w:szCs w:val="24"/>
        </w:rPr>
        <w:t>) and disperser solvent (</w:t>
      </w:r>
      <w:r w:rsidR="00E6691E">
        <w:rPr>
          <w:rFonts w:ascii="Times New Roman" w:hAnsi="Times New Roman" w:cs="Times New Roman"/>
          <w:sz w:val="24"/>
          <w:szCs w:val="24"/>
        </w:rPr>
        <w:t xml:space="preserve">acetonitrile, 800 </w:t>
      </w:r>
      <w:r w:rsidR="00E6691E" w:rsidRPr="00062C20">
        <w:rPr>
          <w:rFonts w:ascii="Times New Roman" w:hAnsi="Times New Roman" w:cs="Times New Roman"/>
          <w:sz w:val="24"/>
          <w:szCs w:val="24"/>
        </w:rPr>
        <w:t>µL</w:t>
      </w:r>
      <w:r w:rsidR="001332A7" w:rsidRPr="00062C20">
        <w:rPr>
          <w:rFonts w:ascii="Times New Roman" w:hAnsi="Times New Roman" w:cs="Times New Roman"/>
          <w:sz w:val="24"/>
          <w:szCs w:val="24"/>
        </w:rPr>
        <w:t xml:space="preserve">) </w:t>
      </w:r>
      <w:r w:rsidR="00E6691E">
        <w:rPr>
          <w:rFonts w:ascii="Times New Roman" w:hAnsi="Times New Roman" w:cs="Times New Roman"/>
          <w:sz w:val="24"/>
          <w:szCs w:val="24"/>
        </w:rPr>
        <w:t xml:space="preserve">was rapidly injected </w:t>
      </w:r>
      <w:r w:rsidR="001332A7" w:rsidRPr="00062C20">
        <w:rPr>
          <w:rFonts w:ascii="Times New Roman" w:hAnsi="Times New Roman" w:cs="Times New Roman"/>
          <w:sz w:val="24"/>
          <w:szCs w:val="24"/>
        </w:rPr>
        <w:t>into the sample</w:t>
      </w:r>
      <w:r w:rsidR="00E6691E">
        <w:rPr>
          <w:rFonts w:ascii="Times New Roman" w:hAnsi="Times New Roman" w:cs="Times New Roman"/>
          <w:sz w:val="24"/>
          <w:szCs w:val="24"/>
        </w:rPr>
        <w:t>s,</w:t>
      </w:r>
      <w:r w:rsidR="001332A7" w:rsidRPr="00062C20">
        <w:rPr>
          <w:rFonts w:ascii="Times New Roman" w:hAnsi="Times New Roman" w:cs="Times New Roman"/>
          <w:sz w:val="24"/>
          <w:szCs w:val="24"/>
        </w:rPr>
        <w:t xml:space="preserve"> and the formation of a cloudy solution</w:t>
      </w:r>
      <w:r w:rsidR="00E6691E">
        <w:rPr>
          <w:rFonts w:ascii="Times New Roman" w:hAnsi="Times New Roman" w:cs="Times New Roman"/>
          <w:sz w:val="24"/>
          <w:szCs w:val="24"/>
        </w:rPr>
        <w:t xml:space="preserve"> was observed</w:t>
      </w:r>
      <w:r w:rsidR="001332A7" w:rsidRPr="00062C20">
        <w:rPr>
          <w:rFonts w:ascii="Times New Roman" w:hAnsi="Times New Roman" w:cs="Times New Roman"/>
          <w:sz w:val="24"/>
          <w:szCs w:val="24"/>
        </w:rPr>
        <w:t xml:space="preserve">. </w:t>
      </w:r>
      <w:r w:rsidR="00E6691E">
        <w:rPr>
          <w:rFonts w:ascii="Times New Roman" w:hAnsi="Times New Roman" w:cs="Times New Roman"/>
          <w:sz w:val="24"/>
          <w:szCs w:val="24"/>
        </w:rPr>
        <w:t>Then these solvent systems were c</w:t>
      </w:r>
      <w:r w:rsidR="001332A7" w:rsidRPr="00062C20">
        <w:rPr>
          <w:rFonts w:ascii="Times New Roman" w:hAnsi="Times New Roman" w:cs="Times New Roman"/>
          <w:sz w:val="24"/>
          <w:szCs w:val="24"/>
        </w:rPr>
        <w:t>arefully centrifuge</w:t>
      </w:r>
      <w:r w:rsidR="00E6691E">
        <w:rPr>
          <w:rFonts w:ascii="Times New Roman" w:hAnsi="Times New Roman" w:cs="Times New Roman"/>
          <w:sz w:val="24"/>
          <w:szCs w:val="24"/>
        </w:rPr>
        <w:t>d</w:t>
      </w:r>
      <w:r w:rsidR="001332A7" w:rsidRPr="00062C20">
        <w:rPr>
          <w:rFonts w:ascii="Times New Roman" w:hAnsi="Times New Roman" w:cs="Times New Roman"/>
          <w:sz w:val="24"/>
          <w:szCs w:val="24"/>
        </w:rPr>
        <w:t xml:space="preserve"> at 5000 rpm for 5 </w:t>
      </w:r>
      <w:r w:rsidR="00877061" w:rsidRPr="00062C20">
        <w:rPr>
          <w:rFonts w:ascii="Times New Roman" w:hAnsi="Times New Roman" w:cs="Times New Roman"/>
          <w:sz w:val="24"/>
          <w:szCs w:val="24"/>
        </w:rPr>
        <w:t>min</w:t>
      </w:r>
      <w:r w:rsidR="00E6691E">
        <w:rPr>
          <w:rFonts w:ascii="Times New Roman" w:hAnsi="Times New Roman" w:cs="Times New Roman"/>
          <w:sz w:val="24"/>
          <w:szCs w:val="24"/>
        </w:rPr>
        <w:t>s,</w:t>
      </w:r>
      <w:r w:rsidR="001332A7" w:rsidRPr="00062C20">
        <w:rPr>
          <w:rFonts w:ascii="Times New Roman" w:hAnsi="Times New Roman" w:cs="Times New Roman"/>
          <w:sz w:val="24"/>
          <w:szCs w:val="24"/>
        </w:rPr>
        <w:t xml:space="preserve"> and the supernatant</w:t>
      </w:r>
      <w:r w:rsidR="00E6691E">
        <w:rPr>
          <w:rFonts w:ascii="Times New Roman" w:hAnsi="Times New Roman" w:cs="Times New Roman"/>
          <w:sz w:val="24"/>
          <w:szCs w:val="24"/>
        </w:rPr>
        <w:t xml:space="preserve"> was discarded</w:t>
      </w:r>
      <w:r w:rsidR="001332A7" w:rsidRPr="00062C20">
        <w:rPr>
          <w:rFonts w:ascii="Times New Roman" w:hAnsi="Times New Roman" w:cs="Times New Roman"/>
          <w:sz w:val="24"/>
          <w:szCs w:val="24"/>
        </w:rPr>
        <w:t>. The sedimented phase</w:t>
      </w:r>
      <w:r w:rsidR="00310628">
        <w:rPr>
          <w:rFonts w:ascii="Times New Roman" w:hAnsi="Times New Roman" w:cs="Times New Roman"/>
          <w:sz w:val="24"/>
          <w:szCs w:val="24"/>
        </w:rPr>
        <w:t xml:space="preserve"> (fig 4)</w:t>
      </w:r>
      <w:r w:rsidR="001332A7" w:rsidRPr="00062C20">
        <w:rPr>
          <w:rFonts w:ascii="Times New Roman" w:hAnsi="Times New Roman" w:cs="Times New Roman"/>
          <w:sz w:val="24"/>
          <w:szCs w:val="24"/>
        </w:rPr>
        <w:t xml:space="preserve"> obtained was a</w:t>
      </w:r>
      <w:r w:rsidR="000148E9" w:rsidRPr="00062C20">
        <w:rPr>
          <w:rFonts w:ascii="Times New Roman" w:hAnsi="Times New Roman" w:cs="Times New Roman"/>
          <w:sz w:val="24"/>
          <w:szCs w:val="24"/>
        </w:rPr>
        <w:t>pproximately</w:t>
      </w:r>
      <w:r w:rsidR="001332A7" w:rsidRPr="00062C20">
        <w:rPr>
          <w:rFonts w:ascii="Times New Roman" w:hAnsi="Times New Roman" w:cs="Times New Roman"/>
          <w:sz w:val="24"/>
          <w:szCs w:val="24"/>
        </w:rPr>
        <w:t xml:space="preserve"> 80 µL</w:t>
      </w:r>
      <w:r w:rsidR="000148E9" w:rsidRPr="00062C20">
        <w:rPr>
          <w:rFonts w:ascii="Times New Roman" w:hAnsi="Times New Roman" w:cs="Times New Roman"/>
          <w:sz w:val="24"/>
          <w:szCs w:val="24"/>
        </w:rPr>
        <w:t>,</w:t>
      </w:r>
      <w:r w:rsidR="001332A7" w:rsidRPr="00062C20">
        <w:rPr>
          <w:rFonts w:ascii="Times New Roman" w:hAnsi="Times New Roman" w:cs="Times New Roman"/>
          <w:sz w:val="24"/>
          <w:szCs w:val="24"/>
        </w:rPr>
        <w:t xml:space="preserve"> which was fur</w:t>
      </w:r>
      <w:r w:rsidR="000148E9" w:rsidRPr="00062C20">
        <w:rPr>
          <w:rFonts w:ascii="Times New Roman" w:hAnsi="Times New Roman" w:cs="Times New Roman"/>
          <w:sz w:val="24"/>
          <w:szCs w:val="24"/>
        </w:rPr>
        <w:t>th</w:t>
      </w:r>
      <w:r w:rsidR="001332A7" w:rsidRPr="00062C20">
        <w:rPr>
          <w:rFonts w:ascii="Times New Roman" w:hAnsi="Times New Roman" w:cs="Times New Roman"/>
          <w:sz w:val="24"/>
          <w:szCs w:val="24"/>
        </w:rPr>
        <w:t xml:space="preserve">er </w:t>
      </w:r>
      <w:r w:rsidR="000148E9" w:rsidRPr="00062C20">
        <w:rPr>
          <w:rFonts w:ascii="Times New Roman" w:hAnsi="Times New Roman" w:cs="Times New Roman"/>
          <w:sz w:val="24"/>
          <w:szCs w:val="24"/>
        </w:rPr>
        <w:t>analyzed</w:t>
      </w:r>
      <w:r w:rsidR="001332A7" w:rsidRPr="00062C20">
        <w:rPr>
          <w:rFonts w:ascii="Times New Roman" w:hAnsi="Times New Roman" w:cs="Times New Roman"/>
          <w:sz w:val="24"/>
          <w:szCs w:val="24"/>
        </w:rPr>
        <w:t xml:space="preserve"> using TLC image analysis.</w:t>
      </w:r>
    </w:p>
    <w:p w14:paraId="1A9C591E" w14:textId="77777777" w:rsidR="0067698F" w:rsidRDefault="0067698F" w:rsidP="003834D1">
      <w:pPr>
        <w:spacing w:after="0" w:line="360" w:lineRule="auto"/>
        <w:ind w:left="284"/>
        <w:jc w:val="both"/>
        <w:rPr>
          <w:rFonts w:ascii="Times New Roman" w:hAnsi="Times New Roman" w:cs="Times New Roman"/>
          <w:sz w:val="24"/>
          <w:szCs w:val="24"/>
        </w:rPr>
      </w:pPr>
    </w:p>
    <w:p w14:paraId="1F918B9A" w14:textId="21BE27D3" w:rsidR="00E6691E" w:rsidRDefault="00310628" w:rsidP="00AF19BE">
      <w:pPr>
        <w:spacing w:after="0" w:line="360" w:lineRule="auto"/>
        <w:ind w:left="284"/>
        <w:jc w:val="center"/>
        <w:rPr>
          <w:rFonts w:ascii="Times New Roman" w:hAnsi="Times New Roman" w:cs="Times New Roman"/>
          <w:b/>
          <w:i/>
          <w:sz w:val="24"/>
          <w:szCs w:val="24"/>
        </w:rPr>
      </w:pPr>
      <w:r w:rsidRPr="00310628">
        <w:rPr>
          <w:rFonts w:ascii="Times New Roman" w:hAnsi="Times New Roman" w:cs="Times New Roman"/>
          <w:b/>
          <w:i/>
          <w:noProof/>
          <w:sz w:val="24"/>
          <w:szCs w:val="24"/>
          <w:lang w:bidi="hi-IN"/>
        </w:rPr>
        <w:lastRenderedPageBreak/>
        <w:drawing>
          <wp:inline distT="0" distB="0" distL="0" distR="0" wp14:anchorId="170A9BB4" wp14:editId="0900DC12">
            <wp:extent cx="5920532" cy="2296160"/>
            <wp:effectExtent l="0" t="0" r="0" b="0"/>
            <wp:docPr id="8836680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668003" name=""/>
                    <pic:cNvPicPr/>
                  </pic:nvPicPr>
                  <pic:blipFill rotWithShape="1">
                    <a:blip r:embed="rId11"/>
                    <a:srcRect t="7660"/>
                    <a:stretch>
                      <a:fillRect/>
                    </a:stretch>
                  </pic:blipFill>
                  <pic:spPr bwMode="auto">
                    <a:xfrm>
                      <a:off x="0" y="0"/>
                      <a:ext cx="5944236" cy="2305353"/>
                    </a:xfrm>
                    <a:prstGeom prst="rect">
                      <a:avLst/>
                    </a:prstGeom>
                    <a:ln>
                      <a:noFill/>
                    </a:ln>
                    <a:extLst>
                      <a:ext uri="{53640926-AAD7-44D8-BBD7-CCE9431645EC}">
                        <a14:shadowObscured xmlns:a14="http://schemas.microsoft.com/office/drawing/2010/main"/>
                      </a:ext>
                    </a:extLst>
                  </pic:spPr>
                </pic:pic>
              </a:graphicData>
            </a:graphic>
          </wp:inline>
        </w:drawing>
      </w:r>
    </w:p>
    <w:p w14:paraId="5F3A530B" w14:textId="2E5B6D9D" w:rsidR="00831D9A" w:rsidRPr="00831D9A" w:rsidRDefault="00831D9A" w:rsidP="00831D9A">
      <w:pPr>
        <w:spacing w:after="0" w:line="360" w:lineRule="auto"/>
        <w:jc w:val="center"/>
        <w:rPr>
          <w:rFonts w:ascii="Times New Roman" w:hAnsi="Times New Roman" w:cs="Times New Roman"/>
          <w:bCs/>
          <w:iCs/>
          <w:sz w:val="24"/>
          <w:szCs w:val="24"/>
        </w:rPr>
      </w:pPr>
      <w:r w:rsidRPr="000C09D5">
        <w:rPr>
          <w:rFonts w:ascii="Times New Roman" w:hAnsi="Times New Roman" w:cs="Times New Roman"/>
          <w:bCs/>
          <w:iCs/>
          <w:sz w:val="24"/>
          <w:szCs w:val="24"/>
        </w:rPr>
        <w:t xml:space="preserve">Figure </w:t>
      </w:r>
      <w:r>
        <w:rPr>
          <w:rFonts w:ascii="Times New Roman" w:hAnsi="Times New Roman" w:cs="Times New Roman"/>
          <w:bCs/>
          <w:iCs/>
          <w:sz w:val="24"/>
          <w:szCs w:val="24"/>
        </w:rPr>
        <w:t>4</w:t>
      </w:r>
      <w:r w:rsidRPr="000C09D5">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Ultrasonicator</w:t>
      </w:r>
      <w:proofErr w:type="spellEnd"/>
      <w:r>
        <w:rPr>
          <w:rFonts w:ascii="Times New Roman" w:hAnsi="Times New Roman" w:cs="Times New Roman"/>
          <w:bCs/>
          <w:iCs/>
          <w:sz w:val="24"/>
          <w:szCs w:val="24"/>
        </w:rPr>
        <w:t>-assisted dispersive liquid-liquid microextraction</w:t>
      </w:r>
      <w:r w:rsidRPr="000C09D5">
        <w:rPr>
          <w:rFonts w:ascii="Times New Roman" w:hAnsi="Times New Roman" w:cs="Times New Roman"/>
          <w:bCs/>
          <w:iCs/>
          <w:sz w:val="24"/>
          <w:szCs w:val="24"/>
        </w:rPr>
        <w:t>.</w:t>
      </w:r>
    </w:p>
    <w:p w14:paraId="35E5F768" w14:textId="77777777" w:rsidR="00CB478A" w:rsidRPr="00062C20" w:rsidRDefault="00CB478A" w:rsidP="00E97634">
      <w:pPr>
        <w:spacing w:after="0" w:line="360" w:lineRule="auto"/>
        <w:ind w:left="284"/>
        <w:jc w:val="both"/>
        <w:rPr>
          <w:rFonts w:ascii="Times New Roman" w:hAnsi="Times New Roman" w:cs="Times New Roman"/>
          <w:b/>
          <w:i/>
          <w:sz w:val="24"/>
          <w:szCs w:val="24"/>
        </w:rPr>
      </w:pPr>
    </w:p>
    <w:p w14:paraId="4DA5ED30" w14:textId="325E842F" w:rsidR="008F70E6" w:rsidRDefault="001455D4" w:rsidP="00E97634">
      <w:pPr>
        <w:spacing w:after="0" w:line="360" w:lineRule="auto"/>
        <w:jc w:val="both"/>
        <w:rPr>
          <w:rFonts w:ascii="Times New Roman" w:hAnsi="Times New Roman" w:cs="Times New Roman"/>
          <w:b/>
          <w:iCs/>
          <w:sz w:val="24"/>
          <w:szCs w:val="24"/>
        </w:rPr>
      </w:pPr>
      <w:r w:rsidRPr="00062C20">
        <w:rPr>
          <w:rFonts w:ascii="Times New Roman" w:hAnsi="Times New Roman" w:cs="Times New Roman"/>
          <w:b/>
          <w:iCs/>
          <w:sz w:val="24"/>
          <w:szCs w:val="24"/>
        </w:rPr>
        <w:t>2.</w:t>
      </w:r>
      <w:r w:rsidR="008F70E6">
        <w:rPr>
          <w:rFonts w:ascii="Times New Roman" w:hAnsi="Times New Roman" w:cs="Times New Roman"/>
          <w:b/>
          <w:iCs/>
          <w:sz w:val="24"/>
          <w:szCs w:val="24"/>
        </w:rPr>
        <w:t>3</w:t>
      </w:r>
      <w:r w:rsidRPr="00062C20">
        <w:rPr>
          <w:rFonts w:ascii="Times New Roman" w:hAnsi="Times New Roman" w:cs="Times New Roman"/>
          <w:b/>
          <w:iCs/>
          <w:sz w:val="24"/>
          <w:szCs w:val="24"/>
        </w:rPr>
        <w:t xml:space="preserve"> </w:t>
      </w:r>
      <w:r w:rsidR="008F70E6">
        <w:rPr>
          <w:rFonts w:ascii="Times New Roman" w:hAnsi="Times New Roman" w:cs="Times New Roman"/>
          <w:b/>
          <w:iCs/>
          <w:sz w:val="24"/>
          <w:szCs w:val="24"/>
        </w:rPr>
        <w:t>Detection</w:t>
      </w:r>
    </w:p>
    <w:p w14:paraId="181BC57A" w14:textId="22E8AFF9" w:rsidR="007B67F4" w:rsidRPr="00062C20" w:rsidRDefault="008F70E6" w:rsidP="00E97634">
      <w:pPr>
        <w:spacing w:after="0" w:line="360" w:lineRule="auto"/>
        <w:jc w:val="both"/>
        <w:rPr>
          <w:rFonts w:ascii="Times New Roman" w:hAnsi="Times New Roman" w:cs="Times New Roman"/>
          <w:b/>
          <w:iCs/>
          <w:sz w:val="24"/>
          <w:szCs w:val="24"/>
        </w:rPr>
      </w:pPr>
      <w:r>
        <w:rPr>
          <w:rFonts w:ascii="Times New Roman" w:hAnsi="Times New Roman" w:cs="Times New Roman"/>
          <w:b/>
          <w:iCs/>
          <w:sz w:val="24"/>
          <w:szCs w:val="24"/>
        </w:rPr>
        <w:t xml:space="preserve">2.3.1 </w:t>
      </w:r>
      <w:r w:rsidR="007B67F4" w:rsidRPr="00062C20">
        <w:rPr>
          <w:rFonts w:ascii="Times New Roman" w:hAnsi="Times New Roman" w:cs="Times New Roman"/>
          <w:b/>
          <w:iCs/>
          <w:sz w:val="24"/>
          <w:szCs w:val="24"/>
        </w:rPr>
        <w:t xml:space="preserve">Thin Layer Chromatography Image </w:t>
      </w:r>
      <w:r w:rsidR="00265B52" w:rsidRPr="00062C20">
        <w:rPr>
          <w:rFonts w:ascii="Times New Roman" w:hAnsi="Times New Roman" w:cs="Times New Roman"/>
          <w:b/>
          <w:iCs/>
          <w:sz w:val="24"/>
          <w:szCs w:val="24"/>
        </w:rPr>
        <w:t>Analysis</w:t>
      </w:r>
    </w:p>
    <w:p w14:paraId="7F474086" w14:textId="178043F4" w:rsidR="00AF19BE" w:rsidRPr="00AF19BE" w:rsidRDefault="00E6691E" w:rsidP="00AF19BE">
      <w:pPr>
        <w:spacing w:after="0" w:line="360" w:lineRule="auto"/>
        <w:ind w:left="426"/>
        <w:jc w:val="both"/>
        <w:rPr>
          <w:rFonts w:ascii="Times New Roman" w:hAnsi="Times New Roman" w:cs="Times New Roman"/>
          <w:sz w:val="24"/>
          <w:szCs w:val="24"/>
        </w:rPr>
      </w:pPr>
      <w:r>
        <w:rPr>
          <w:rFonts w:ascii="Times New Roman" w:hAnsi="Times New Roman" w:cs="Times New Roman"/>
          <w:bCs/>
          <w:iCs/>
          <w:sz w:val="24"/>
          <w:szCs w:val="24"/>
        </w:rPr>
        <w:t xml:space="preserve">From the </w:t>
      </w:r>
      <w:r w:rsidR="00265B52" w:rsidRPr="00062C20">
        <w:rPr>
          <w:rFonts w:ascii="Times New Roman" w:hAnsi="Times New Roman" w:cs="Times New Roman"/>
          <w:bCs/>
          <w:iCs/>
          <w:sz w:val="24"/>
          <w:szCs w:val="24"/>
        </w:rPr>
        <w:t>sediment phase</w:t>
      </w:r>
      <w:r>
        <w:rPr>
          <w:rFonts w:ascii="Times New Roman" w:hAnsi="Times New Roman" w:cs="Times New Roman"/>
          <w:bCs/>
          <w:iCs/>
          <w:sz w:val="24"/>
          <w:szCs w:val="24"/>
        </w:rPr>
        <w:t>,</w:t>
      </w:r>
      <w:r w:rsidR="00265B52" w:rsidRPr="00062C20">
        <w:rPr>
          <w:rFonts w:ascii="Times New Roman" w:hAnsi="Times New Roman" w:cs="Times New Roman"/>
          <w:bCs/>
          <w:iCs/>
          <w:sz w:val="24"/>
          <w:szCs w:val="24"/>
        </w:rPr>
        <w:t xml:space="preserve"> 5 </w:t>
      </w:r>
      <w:r w:rsidR="00265B52" w:rsidRPr="00062C20">
        <w:rPr>
          <w:rFonts w:ascii="Times New Roman" w:hAnsi="Times New Roman" w:cs="Times New Roman"/>
          <w:sz w:val="24"/>
          <w:szCs w:val="24"/>
        </w:rPr>
        <w:t>µL</w:t>
      </w:r>
      <w:r w:rsidR="00265B52" w:rsidRPr="00062C20">
        <w:rPr>
          <w:rFonts w:ascii="Times New Roman" w:hAnsi="Times New Roman" w:cs="Times New Roman"/>
          <w:bCs/>
          <w:iCs/>
          <w:sz w:val="24"/>
          <w:szCs w:val="24"/>
        </w:rPr>
        <w:t xml:space="preserve"> </w:t>
      </w:r>
      <w:r>
        <w:rPr>
          <w:rFonts w:ascii="Times New Roman" w:hAnsi="Times New Roman" w:cs="Times New Roman"/>
          <w:bCs/>
          <w:iCs/>
          <w:sz w:val="24"/>
          <w:szCs w:val="24"/>
        </w:rPr>
        <w:t>of extract</w:t>
      </w:r>
      <w:r w:rsidR="00265B52" w:rsidRPr="00062C20">
        <w:rPr>
          <w:rFonts w:ascii="Times New Roman" w:hAnsi="Times New Roman" w:cs="Times New Roman"/>
          <w:bCs/>
          <w:iCs/>
          <w:sz w:val="24"/>
          <w:szCs w:val="24"/>
        </w:rPr>
        <w:t xml:space="preserve"> from blood, urine, and pill samples was spotted on the TLC plate and air-dried for 5 mins. The pre-saturated mobile phase of </w:t>
      </w:r>
      <w:r w:rsidR="00265B52" w:rsidRPr="00062C20">
        <w:rPr>
          <w:rFonts w:ascii="Times New Roman" w:hAnsi="Times New Roman" w:cs="Times New Roman"/>
          <w:sz w:val="24"/>
          <w:szCs w:val="24"/>
        </w:rPr>
        <w:t xml:space="preserve">ethyl acetate–methanol–ammonia solution (85:10:5 </w:t>
      </w:r>
      <w:r w:rsidR="00265B52" w:rsidRPr="00062C20">
        <w:rPr>
          <w:rFonts w:ascii="Times New Roman" w:hAnsi="Times New Roman" w:cs="Times New Roman"/>
          <w:i/>
          <w:sz w:val="24"/>
          <w:szCs w:val="24"/>
        </w:rPr>
        <w:t>v/v/v</w:t>
      </w:r>
      <w:r w:rsidR="00265B52" w:rsidRPr="00062C20">
        <w:rPr>
          <w:rFonts w:ascii="Times New Roman" w:hAnsi="Times New Roman" w:cs="Times New Roman"/>
          <w:sz w:val="24"/>
          <w:szCs w:val="24"/>
        </w:rPr>
        <w:t>) was prepared</w:t>
      </w:r>
      <w:r w:rsidR="00877061" w:rsidRPr="00062C20">
        <w:rPr>
          <w:rFonts w:ascii="Times New Roman" w:hAnsi="Times New Roman" w:cs="Times New Roman"/>
          <w:sz w:val="24"/>
          <w:szCs w:val="24"/>
        </w:rPr>
        <w:t>,</w:t>
      </w:r>
      <w:r w:rsidR="00265B52" w:rsidRPr="00062C20">
        <w:rPr>
          <w:rFonts w:ascii="Times New Roman" w:hAnsi="Times New Roman" w:cs="Times New Roman"/>
          <w:sz w:val="24"/>
          <w:szCs w:val="24"/>
        </w:rPr>
        <w:t xml:space="preserve"> and the TLC plate was placed in it. Once the plate was run to the desired markings</w:t>
      </w:r>
      <w:r w:rsidR="00877061" w:rsidRPr="00062C20">
        <w:rPr>
          <w:rFonts w:ascii="Times New Roman" w:hAnsi="Times New Roman" w:cs="Times New Roman"/>
          <w:sz w:val="24"/>
          <w:szCs w:val="24"/>
        </w:rPr>
        <w:t>,</w:t>
      </w:r>
      <w:r w:rsidR="00265B52" w:rsidRPr="00062C20">
        <w:rPr>
          <w:rFonts w:ascii="Times New Roman" w:hAnsi="Times New Roman" w:cs="Times New Roman"/>
          <w:sz w:val="24"/>
          <w:szCs w:val="24"/>
        </w:rPr>
        <w:t xml:space="preserve"> it was removed from the development chamber and left to air-dry for 5 </w:t>
      </w:r>
      <w:r w:rsidR="00877061" w:rsidRPr="00062C20">
        <w:rPr>
          <w:rFonts w:ascii="Times New Roman" w:hAnsi="Times New Roman" w:cs="Times New Roman"/>
          <w:sz w:val="24"/>
          <w:szCs w:val="24"/>
        </w:rPr>
        <w:t>minutes</w:t>
      </w:r>
      <w:r w:rsidR="00265B52" w:rsidRPr="00062C20">
        <w:rPr>
          <w:rFonts w:ascii="Times New Roman" w:hAnsi="Times New Roman" w:cs="Times New Roman"/>
          <w:sz w:val="24"/>
          <w:szCs w:val="24"/>
        </w:rPr>
        <w:t>. The spots were visible under the UV chamber</w:t>
      </w:r>
      <w:r w:rsidR="00877061" w:rsidRPr="00062C20">
        <w:rPr>
          <w:rFonts w:ascii="Times New Roman" w:hAnsi="Times New Roman" w:cs="Times New Roman"/>
          <w:sz w:val="24"/>
          <w:szCs w:val="24"/>
        </w:rPr>
        <w:t>,</w:t>
      </w:r>
      <w:r w:rsidR="00265B52" w:rsidRPr="00062C20">
        <w:rPr>
          <w:rFonts w:ascii="Times New Roman" w:hAnsi="Times New Roman" w:cs="Times New Roman"/>
          <w:sz w:val="24"/>
          <w:szCs w:val="24"/>
        </w:rPr>
        <w:t xml:space="preserve"> and a clear photograph was taken with the help of a </w:t>
      </w:r>
      <w:r>
        <w:rPr>
          <w:rFonts w:ascii="Times New Roman" w:hAnsi="Times New Roman" w:cs="Times New Roman"/>
          <w:sz w:val="24"/>
          <w:szCs w:val="24"/>
        </w:rPr>
        <w:t>smartphone (One Plus CE 3</w:t>
      </w:r>
      <w:r w:rsidR="000C09D5">
        <w:rPr>
          <w:rFonts w:ascii="Times New Roman" w:hAnsi="Times New Roman" w:cs="Times New Roman"/>
          <w:sz w:val="24"/>
          <w:szCs w:val="24"/>
        </w:rPr>
        <w:t xml:space="preserve"> lite</w:t>
      </w:r>
      <w:r>
        <w:rPr>
          <w:rFonts w:ascii="Times New Roman" w:hAnsi="Times New Roman" w:cs="Times New Roman"/>
          <w:sz w:val="24"/>
          <w:szCs w:val="24"/>
        </w:rPr>
        <w:t>)</w:t>
      </w:r>
      <w:r w:rsidR="00265B52" w:rsidRPr="00062C20">
        <w:rPr>
          <w:rFonts w:ascii="Times New Roman" w:hAnsi="Times New Roman" w:cs="Times New Roman"/>
          <w:sz w:val="24"/>
          <w:szCs w:val="24"/>
        </w:rPr>
        <w:t>.  The</w:t>
      </w:r>
      <w:r>
        <w:rPr>
          <w:rFonts w:ascii="Times New Roman" w:hAnsi="Times New Roman" w:cs="Times New Roman"/>
          <w:sz w:val="24"/>
          <w:szCs w:val="24"/>
        </w:rPr>
        <w:t xml:space="preserve"> image was then processed </w:t>
      </w:r>
      <w:r w:rsidRPr="00062C20">
        <w:rPr>
          <w:rFonts w:ascii="Times New Roman" w:hAnsi="Times New Roman" w:cs="Times New Roman"/>
          <w:sz w:val="24"/>
          <w:szCs w:val="24"/>
        </w:rPr>
        <w:t>by the freely available software ImageJ</w:t>
      </w:r>
      <w:r>
        <w:rPr>
          <w:rFonts w:ascii="Times New Roman" w:hAnsi="Times New Roman" w:cs="Times New Roman"/>
          <w:sz w:val="24"/>
          <w:szCs w:val="24"/>
        </w:rPr>
        <w:t xml:space="preserve">, by which the </w:t>
      </w:r>
      <w:r w:rsidR="00265B52" w:rsidRPr="00062C20">
        <w:rPr>
          <w:rFonts w:ascii="Times New Roman" w:hAnsi="Times New Roman" w:cs="Times New Roman"/>
          <w:sz w:val="24"/>
          <w:szCs w:val="24"/>
        </w:rPr>
        <w:t>density of the spot</w:t>
      </w:r>
      <w:r w:rsidR="00A3052F" w:rsidRPr="00062C20">
        <w:rPr>
          <w:rFonts w:ascii="Times New Roman" w:hAnsi="Times New Roman" w:cs="Times New Roman"/>
          <w:sz w:val="24"/>
          <w:szCs w:val="24"/>
        </w:rPr>
        <w:t>s</w:t>
      </w:r>
      <w:r w:rsidR="00265B52" w:rsidRPr="00062C20">
        <w:rPr>
          <w:rFonts w:ascii="Times New Roman" w:hAnsi="Times New Roman" w:cs="Times New Roman"/>
          <w:sz w:val="24"/>
          <w:szCs w:val="24"/>
        </w:rPr>
        <w:t xml:space="preserve"> </w:t>
      </w:r>
      <w:r w:rsidR="00D656CA">
        <w:rPr>
          <w:rFonts w:ascii="Times New Roman" w:hAnsi="Times New Roman" w:cs="Times New Roman"/>
          <w:sz w:val="24"/>
          <w:szCs w:val="24"/>
        </w:rPr>
        <w:t>was</w:t>
      </w:r>
      <w:r w:rsidR="00265B52" w:rsidRPr="00062C20">
        <w:rPr>
          <w:rFonts w:ascii="Times New Roman" w:hAnsi="Times New Roman" w:cs="Times New Roman"/>
          <w:sz w:val="24"/>
          <w:szCs w:val="24"/>
        </w:rPr>
        <w:t xml:space="preserve"> </w:t>
      </w:r>
      <w:r>
        <w:rPr>
          <w:rFonts w:ascii="Times New Roman" w:hAnsi="Times New Roman" w:cs="Times New Roman"/>
          <w:sz w:val="24"/>
          <w:szCs w:val="24"/>
        </w:rPr>
        <w:t xml:space="preserve">calculated </w:t>
      </w:r>
      <w:r w:rsidR="00E3438B">
        <w:rPr>
          <w:rFonts w:ascii="Times New Roman" w:hAnsi="Times New Roman" w:cs="Times New Roman"/>
          <w:sz w:val="24"/>
          <w:szCs w:val="24"/>
        </w:rPr>
        <w:t xml:space="preserve">and </w:t>
      </w:r>
      <w:r w:rsidR="00265B52" w:rsidRPr="00062C20">
        <w:rPr>
          <w:rFonts w:ascii="Times New Roman" w:hAnsi="Times New Roman" w:cs="Times New Roman"/>
          <w:sz w:val="24"/>
          <w:szCs w:val="24"/>
        </w:rPr>
        <w:t>converted</w:t>
      </w:r>
      <w:r w:rsidR="00E3438B">
        <w:rPr>
          <w:rFonts w:ascii="Times New Roman" w:hAnsi="Times New Roman" w:cs="Times New Roman"/>
          <w:sz w:val="24"/>
          <w:szCs w:val="24"/>
        </w:rPr>
        <w:t xml:space="preserve"> </w:t>
      </w:r>
      <w:r w:rsidR="00265B52" w:rsidRPr="00062C20">
        <w:rPr>
          <w:rFonts w:ascii="Times New Roman" w:hAnsi="Times New Roman" w:cs="Times New Roman"/>
          <w:sz w:val="24"/>
          <w:szCs w:val="24"/>
        </w:rPr>
        <w:t xml:space="preserve">into </w:t>
      </w:r>
      <w:proofErr w:type="spellStart"/>
      <w:r w:rsidR="00265B52" w:rsidRPr="00062C20">
        <w:rPr>
          <w:rFonts w:ascii="Times New Roman" w:hAnsi="Times New Roman" w:cs="Times New Roman"/>
          <w:sz w:val="24"/>
          <w:szCs w:val="24"/>
        </w:rPr>
        <w:t>densitograms</w:t>
      </w:r>
      <w:proofErr w:type="spellEnd"/>
      <w:r w:rsidR="003A5551">
        <w:rPr>
          <w:rFonts w:ascii="Times New Roman" w:hAnsi="Times New Roman" w:cs="Times New Roman"/>
          <w:sz w:val="24"/>
          <w:szCs w:val="24"/>
        </w:rPr>
        <w:t xml:space="preserve"> (fig 5</w:t>
      </w:r>
      <w:r w:rsidR="002551F6">
        <w:rPr>
          <w:rFonts w:ascii="Times New Roman" w:hAnsi="Times New Roman" w:cs="Times New Roman"/>
          <w:sz w:val="24"/>
          <w:szCs w:val="24"/>
        </w:rPr>
        <w:t xml:space="preserve"> and 6</w:t>
      </w:r>
      <w:r w:rsidR="003A5551">
        <w:rPr>
          <w:rFonts w:ascii="Times New Roman" w:hAnsi="Times New Roman" w:cs="Times New Roman"/>
          <w:sz w:val="24"/>
          <w:szCs w:val="24"/>
        </w:rPr>
        <w:t>)</w:t>
      </w:r>
      <w:r w:rsidR="00265B52" w:rsidRPr="00062C20">
        <w:rPr>
          <w:rFonts w:ascii="Times New Roman" w:hAnsi="Times New Roman" w:cs="Times New Roman"/>
          <w:sz w:val="24"/>
          <w:szCs w:val="24"/>
        </w:rPr>
        <w:t>.</w:t>
      </w:r>
    </w:p>
    <w:p w14:paraId="5ED3BDC0" w14:textId="5E47B067" w:rsidR="0067698F" w:rsidRDefault="00CB478A" w:rsidP="00AF19BE">
      <w:pPr>
        <w:spacing w:after="0" w:line="360" w:lineRule="auto"/>
        <w:ind w:right="107"/>
        <w:jc w:val="center"/>
        <w:rPr>
          <w:rFonts w:ascii="Times New Roman" w:hAnsi="Times New Roman" w:cs="Times New Roman"/>
          <w:sz w:val="24"/>
          <w:szCs w:val="24"/>
        </w:rPr>
      </w:pPr>
      <w:r w:rsidRPr="00CB478A">
        <w:rPr>
          <w:rFonts w:ascii="Times New Roman" w:hAnsi="Times New Roman" w:cs="Times New Roman"/>
          <w:i/>
          <w:iCs/>
          <w:noProof/>
          <w:sz w:val="24"/>
          <w:szCs w:val="24"/>
          <w:lang w:bidi="hi-IN"/>
        </w:rPr>
        <w:drawing>
          <wp:inline distT="0" distB="0" distL="0" distR="0" wp14:anchorId="1FEF2767" wp14:editId="32D9881E">
            <wp:extent cx="6188710" cy="1873539"/>
            <wp:effectExtent l="0" t="0" r="0" b="0"/>
            <wp:docPr id="1878474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474904" name=""/>
                    <pic:cNvPicPr/>
                  </pic:nvPicPr>
                  <pic:blipFill rotWithShape="1">
                    <a:blip r:embed="rId12"/>
                    <a:srcRect t="18156"/>
                    <a:stretch>
                      <a:fillRect/>
                    </a:stretch>
                  </pic:blipFill>
                  <pic:spPr bwMode="auto">
                    <a:xfrm>
                      <a:off x="0" y="0"/>
                      <a:ext cx="6188710" cy="1873539"/>
                    </a:xfrm>
                    <a:prstGeom prst="rect">
                      <a:avLst/>
                    </a:prstGeom>
                    <a:ln>
                      <a:noFill/>
                    </a:ln>
                    <a:extLst>
                      <a:ext uri="{53640926-AAD7-44D8-BBD7-CCE9431645EC}">
                        <a14:shadowObscured xmlns:a14="http://schemas.microsoft.com/office/drawing/2010/main"/>
                      </a:ext>
                    </a:extLst>
                  </pic:spPr>
                </pic:pic>
              </a:graphicData>
            </a:graphic>
          </wp:inline>
        </w:drawing>
      </w:r>
    </w:p>
    <w:p w14:paraId="6F0EA8FD" w14:textId="37613C16" w:rsidR="001455D4" w:rsidRDefault="003A5551" w:rsidP="00AF19BE">
      <w:pPr>
        <w:spacing w:after="0" w:line="360" w:lineRule="auto"/>
        <w:jc w:val="center"/>
        <w:rPr>
          <w:rFonts w:ascii="Times New Roman" w:hAnsi="Times New Roman" w:cs="Times New Roman"/>
          <w:bCs/>
          <w:iCs/>
          <w:sz w:val="24"/>
          <w:szCs w:val="24"/>
        </w:rPr>
      </w:pPr>
      <w:r w:rsidRPr="000C09D5">
        <w:rPr>
          <w:rFonts w:ascii="Times New Roman" w:hAnsi="Times New Roman" w:cs="Times New Roman"/>
          <w:bCs/>
          <w:iCs/>
          <w:sz w:val="24"/>
          <w:szCs w:val="24"/>
        </w:rPr>
        <w:t xml:space="preserve">Figure </w:t>
      </w:r>
      <w:r>
        <w:rPr>
          <w:rFonts w:ascii="Times New Roman" w:hAnsi="Times New Roman" w:cs="Times New Roman"/>
          <w:bCs/>
          <w:iCs/>
          <w:sz w:val="24"/>
          <w:szCs w:val="24"/>
        </w:rPr>
        <w:t>5</w:t>
      </w:r>
      <w:r w:rsidRPr="000C09D5">
        <w:rPr>
          <w:rFonts w:ascii="Times New Roman" w:hAnsi="Times New Roman" w:cs="Times New Roman"/>
          <w:bCs/>
          <w:iCs/>
          <w:sz w:val="24"/>
          <w:szCs w:val="24"/>
        </w:rPr>
        <w:t xml:space="preserve">: </w:t>
      </w:r>
      <w:r>
        <w:rPr>
          <w:rFonts w:ascii="Times New Roman" w:hAnsi="Times New Roman" w:cs="Times New Roman"/>
          <w:bCs/>
          <w:iCs/>
          <w:sz w:val="24"/>
          <w:szCs w:val="24"/>
        </w:rPr>
        <w:t>Thin-layer chromatography image analysis</w:t>
      </w:r>
      <w:r w:rsidRPr="000C09D5">
        <w:rPr>
          <w:rFonts w:ascii="Times New Roman" w:hAnsi="Times New Roman" w:cs="Times New Roman"/>
          <w:bCs/>
          <w:iCs/>
          <w:sz w:val="24"/>
          <w:szCs w:val="24"/>
        </w:rPr>
        <w:t>.</w:t>
      </w:r>
    </w:p>
    <w:p w14:paraId="36622454" w14:textId="0839D24F" w:rsidR="00A479FA" w:rsidRDefault="00A479FA" w:rsidP="00A479FA">
      <w:pPr>
        <w:spacing w:after="0" w:line="360" w:lineRule="auto"/>
        <w:ind w:left="-567" w:right="-602"/>
        <w:jc w:val="center"/>
        <w:rPr>
          <w:rFonts w:ascii="Times New Roman" w:hAnsi="Times New Roman" w:cs="Times New Roman"/>
          <w:bCs/>
          <w:iCs/>
          <w:sz w:val="24"/>
          <w:szCs w:val="24"/>
        </w:rPr>
      </w:pPr>
      <w:r w:rsidRPr="004A6A73">
        <w:rPr>
          <w:rFonts w:ascii="Times New Roman" w:hAnsi="Times New Roman" w:cs="Times New Roman"/>
          <w:noProof/>
          <w:sz w:val="24"/>
          <w:szCs w:val="24"/>
          <w:lang w:bidi="hi-IN"/>
        </w:rPr>
        <w:lastRenderedPageBreak/>
        <w:drawing>
          <wp:inline distT="0" distB="0" distL="0" distR="0" wp14:anchorId="51DAF225" wp14:editId="4026372B">
            <wp:extent cx="1645920" cy="1272540"/>
            <wp:effectExtent l="0" t="0" r="0" b="0"/>
            <wp:docPr id="660743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743099" name=""/>
                    <pic:cNvPicPr/>
                  </pic:nvPicPr>
                  <pic:blipFill rotWithShape="1">
                    <a:blip r:embed="rId13"/>
                    <a:srcRect t="769" r="2483" b="73531"/>
                    <a:stretch>
                      <a:fillRect/>
                    </a:stretch>
                  </pic:blipFill>
                  <pic:spPr bwMode="auto">
                    <a:xfrm>
                      <a:off x="0" y="0"/>
                      <a:ext cx="1677823" cy="1297205"/>
                    </a:xfrm>
                    <a:prstGeom prst="rect">
                      <a:avLst/>
                    </a:prstGeom>
                    <a:ln>
                      <a:noFill/>
                    </a:ln>
                    <a:extLst>
                      <a:ext uri="{53640926-AAD7-44D8-BBD7-CCE9431645EC}">
                        <a14:shadowObscured xmlns:a14="http://schemas.microsoft.com/office/drawing/2010/main"/>
                      </a:ext>
                    </a:extLst>
                  </pic:spPr>
                </pic:pic>
              </a:graphicData>
            </a:graphic>
          </wp:inline>
        </w:drawing>
      </w:r>
      <w:r w:rsidRPr="004A6A73">
        <w:rPr>
          <w:rFonts w:ascii="Times New Roman" w:hAnsi="Times New Roman" w:cs="Times New Roman"/>
          <w:noProof/>
          <w:sz w:val="24"/>
          <w:szCs w:val="24"/>
          <w:lang w:bidi="hi-IN"/>
        </w:rPr>
        <w:drawing>
          <wp:inline distT="0" distB="0" distL="0" distR="0" wp14:anchorId="665F80CE" wp14:editId="0CD35928">
            <wp:extent cx="1617980" cy="1256538"/>
            <wp:effectExtent l="0" t="0" r="0" b="0"/>
            <wp:docPr id="686587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743099" name=""/>
                    <pic:cNvPicPr/>
                  </pic:nvPicPr>
                  <pic:blipFill rotWithShape="1">
                    <a:blip r:embed="rId13"/>
                    <a:srcRect l="1356" t="25699" r="2710" b="49521"/>
                    <a:stretch>
                      <a:fillRect/>
                    </a:stretch>
                  </pic:blipFill>
                  <pic:spPr bwMode="auto">
                    <a:xfrm>
                      <a:off x="0" y="0"/>
                      <a:ext cx="1621819" cy="1259519"/>
                    </a:xfrm>
                    <a:prstGeom prst="rect">
                      <a:avLst/>
                    </a:prstGeom>
                    <a:ln>
                      <a:noFill/>
                    </a:ln>
                    <a:extLst>
                      <a:ext uri="{53640926-AAD7-44D8-BBD7-CCE9431645EC}">
                        <a14:shadowObscured xmlns:a14="http://schemas.microsoft.com/office/drawing/2010/main"/>
                      </a:ext>
                    </a:extLst>
                  </pic:spPr>
                </pic:pic>
              </a:graphicData>
            </a:graphic>
          </wp:inline>
        </w:drawing>
      </w:r>
      <w:r w:rsidRPr="004A6A73">
        <w:rPr>
          <w:rFonts w:ascii="Times New Roman" w:hAnsi="Times New Roman" w:cs="Times New Roman"/>
          <w:noProof/>
          <w:sz w:val="24"/>
          <w:szCs w:val="24"/>
          <w:lang w:bidi="hi-IN"/>
        </w:rPr>
        <w:drawing>
          <wp:inline distT="0" distB="0" distL="0" distR="0" wp14:anchorId="3E6C8C9F" wp14:editId="3A4ED0BA">
            <wp:extent cx="1600200" cy="1257300"/>
            <wp:effectExtent l="19050" t="19050" r="0" b="0"/>
            <wp:docPr id="2138907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743099" name=""/>
                    <pic:cNvPicPr/>
                  </pic:nvPicPr>
                  <pic:blipFill rotWithShape="1">
                    <a:blip r:embed="rId13"/>
                    <a:srcRect l="2259" t="50631" r="2898" b="24891"/>
                    <a:stretch>
                      <a:fillRect/>
                    </a:stretch>
                  </pic:blipFill>
                  <pic:spPr bwMode="auto">
                    <a:xfrm>
                      <a:off x="0" y="0"/>
                      <a:ext cx="1631831" cy="128215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Pr="004A6A73">
        <w:rPr>
          <w:rFonts w:ascii="Times New Roman" w:hAnsi="Times New Roman" w:cs="Times New Roman"/>
          <w:noProof/>
          <w:sz w:val="24"/>
          <w:szCs w:val="24"/>
          <w:lang w:bidi="hi-IN"/>
        </w:rPr>
        <w:drawing>
          <wp:inline distT="0" distB="0" distL="0" distR="0" wp14:anchorId="2D45E7BC" wp14:editId="5C90B427">
            <wp:extent cx="1633220" cy="1257300"/>
            <wp:effectExtent l="0" t="0" r="0" b="0"/>
            <wp:docPr id="607202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743099" name=""/>
                    <pic:cNvPicPr/>
                  </pic:nvPicPr>
                  <pic:blipFill rotWithShape="1">
                    <a:blip r:embed="rId13"/>
                    <a:srcRect l="3163" t="74482" b="569"/>
                    <a:stretch>
                      <a:fillRect/>
                    </a:stretch>
                  </pic:blipFill>
                  <pic:spPr bwMode="auto">
                    <a:xfrm>
                      <a:off x="0" y="0"/>
                      <a:ext cx="1633220" cy="1257300"/>
                    </a:xfrm>
                    <a:prstGeom prst="rect">
                      <a:avLst/>
                    </a:prstGeom>
                    <a:ln>
                      <a:noFill/>
                    </a:ln>
                    <a:extLst>
                      <a:ext uri="{53640926-AAD7-44D8-BBD7-CCE9431645EC}">
                        <a14:shadowObscured xmlns:a14="http://schemas.microsoft.com/office/drawing/2010/main"/>
                      </a:ext>
                    </a:extLst>
                  </pic:spPr>
                </pic:pic>
              </a:graphicData>
            </a:graphic>
          </wp:inline>
        </w:drawing>
      </w:r>
    </w:p>
    <w:p w14:paraId="2238A8A4" w14:textId="5C2D5FBF" w:rsidR="00A479FA" w:rsidRPr="009123C2" w:rsidRDefault="009123C2" w:rsidP="009123C2">
      <w:pPr>
        <w:pStyle w:val="ListParagraph"/>
        <w:numPr>
          <w:ilvl w:val="0"/>
          <w:numId w:val="10"/>
        </w:numPr>
        <w:spacing w:after="0" w:line="360" w:lineRule="auto"/>
        <w:ind w:right="-602"/>
        <w:jc w:val="center"/>
        <w:rPr>
          <w:rFonts w:ascii="Times New Roman" w:hAnsi="Times New Roman" w:cs="Times New Roman"/>
          <w:bCs/>
          <w:iCs/>
          <w:sz w:val="24"/>
          <w:szCs w:val="24"/>
        </w:rPr>
      </w:pPr>
      <w:r>
        <w:rPr>
          <w:rFonts w:ascii="Times New Roman" w:hAnsi="Times New Roman" w:cs="Times New Roman"/>
          <w:bCs/>
          <w:iCs/>
          <w:sz w:val="24"/>
          <w:szCs w:val="24"/>
        </w:rPr>
        <w:t xml:space="preserve">                                        (b)                                          (c)                                       (d)</w:t>
      </w:r>
    </w:p>
    <w:p w14:paraId="0EFD2BD7" w14:textId="028D11CA" w:rsidR="00A479FA" w:rsidRDefault="00A479FA" w:rsidP="00A479FA">
      <w:pPr>
        <w:spacing w:after="0" w:line="360" w:lineRule="auto"/>
        <w:ind w:left="-567" w:right="-602"/>
        <w:jc w:val="center"/>
        <w:rPr>
          <w:rFonts w:ascii="Times New Roman" w:hAnsi="Times New Roman" w:cs="Times New Roman"/>
          <w:bCs/>
          <w:iCs/>
          <w:sz w:val="24"/>
          <w:szCs w:val="24"/>
        </w:rPr>
      </w:pPr>
      <w:r>
        <w:rPr>
          <w:rFonts w:ascii="Times New Roman" w:hAnsi="Times New Roman" w:cs="Times New Roman"/>
          <w:bCs/>
          <w:iCs/>
          <w:sz w:val="24"/>
          <w:szCs w:val="24"/>
        </w:rPr>
        <w:t xml:space="preserve">Figure 6: </w:t>
      </w:r>
      <w:proofErr w:type="spellStart"/>
      <w:r>
        <w:rPr>
          <w:rFonts w:ascii="Times New Roman" w:hAnsi="Times New Roman" w:cs="Times New Roman"/>
          <w:bCs/>
          <w:iCs/>
          <w:sz w:val="24"/>
          <w:szCs w:val="24"/>
        </w:rPr>
        <w:t>Densitogram</w:t>
      </w:r>
      <w:proofErr w:type="spellEnd"/>
      <w:r>
        <w:rPr>
          <w:rFonts w:ascii="Times New Roman" w:hAnsi="Times New Roman" w:cs="Times New Roman"/>
          <w:bCs/>
          <w:iCs/>
          <w:sz w:val="24"/>
          <w:szCs w:val="24"/>
        </w:rPr>
        <w:t xml:space="preserve"> of RSP created by ImageJ software of </w:t>
      </w:r>
      <w:r w:rsidR="009704D9">
        <w:rPr>
          <w:rFonts w:ascii="Times New Roman" w:hAnsi="Times New Roman" w:cs="Times New Roman"/>
          <w:bCs/>
          <w:iCs/>
          <w:sz w:val="24"/>
          <w:szCs w:val="24"/>
        </w:rPr>
        <w:t xml:space="preserve">(a) </w:t>
      </w:r>
      <w:r>
        <w:rPr>
          <w:rFonts w:ascii="Times New Roman" w:hAnsi="Times New Roman" w:cs="Times New Roman"/>
          <w:bCs/>
          <w:iCs/>
          <w:sz w:val="24"/>
          <w:szCs w:val="24"/>
        </w:rPr>
        <w:t xml:space="preserve">standard at 4 mg/ml, </w:t>
      </w:r>
      <w:r w:rsidR="009704D9">
        <w:rPr>
          <w:rFonts w:ascii="Times New Roman" w:hAnsi="Times New Roman" w:cs="Times New Roman"/>
          <w:bCs/>
          <w:iCs/>
          <w:sz w:val="24"/>
          <w:szCs w:val="24"/>
        </w:rPr>
        <w:t xml:space="preserve">(b) </w:t>
      </w:r>
      <w:r>
        <w:rPr>
          <w:rFonts w:ascii="Times New Roman" w:hAnsi="Times New Roman" w:cs="Times New Roman"/>
          <w:bCs/>
          <w:iCs/>
          <w:sz w:val="24"/>
          <w:szCs w:val="24"/>
        </w:rPr>
        <w:t xml:space="preserve">blood sample, </w:t>
      </w:r>
      <w:r w:rsidR="009704D9">
        <w:rPr>
          <w:rFonts w:ascii="Times New Roman" w:hAnsi="Times New Roman" w:cs="Times New Roman"/>
          <w:bCs/>
          <w:iCs/>
          <w:sz w:val="24"/>
          <w:szCs w:val="24"/>
        </w:rPr>
        <w:t xml:space="preserve">(c) </w:t>
      </w:r>
      <w:r>
        <w:rPr>
          <w:rFonts w:ascii="Times New Roman" w:hAnsi="Times New Roman" w:cs="Times New Roman"/>
          <w:bCs/>
          <w:iCs/>
          <w:sz w:val="24"/>
          <w:szCs w:val="24"/>
        </w:rPr>
        <w:t xml:space="preserve">urine sample, and </w:t>
      </w:r>
      <w:r w:rsidR="009704D9">
        <w:rPr>
          <w:rFonts w:ascii="Times New Roman" w:hAnsi="Times New Roman" w:cs="Times New Roman"/>
          <w:bCs/>
          <w:iCs/>
          <w:sz w:val="24"/>
          <w:szCs w:val="24"/>
        </w:rPr>
        <w:t xml:space="preserve">(d) </w:t>
      </w:r>
      <w:r>
        <w:rPr>
          <w:rFonts w:ascii="Times New Roman" w:hAnsi="Times New Roman" w:cs="Times New Roman"/>
          <w:bCs/>
          <w:iCs/>
          <w:sz w:val="24"/>
          <w:szCs w:val="24"/>
        </w:rPr>
        <w:t>pill sample.</w:t>
      </w:r>
    </w:p>
    <w:p w14:paraId="72ACEC5B" w14:textId="77777777" w:rsidR="002551F6" w:rsidRPr="00062C20" w:rsidRDefault="002551F6" w:rsidP="00A479FA">
      <w:pPr>
        <w:spacing w:after="0" w:line="360" w:lineRule="auto"/>
        <w:ind w:left="-567" w:right="-602"/>
        <w:jc w:val="center"/>
        <w:rPr>
          <w:rFonts w:ascii="Times New Roman" w:hAnsi="Times New Roman" w:cs="Times New Roman"/>
          <w:bCs/>
          <w:iCs/>
          <w:sz w:val="24"/>
          <w:szCs w:val="24"/>
        </w:rPr>
      </w:pPr>
    </w:p>
    <w:p w14:paraId="67299C0A" w14:textId="32DFA193" w:rsidR="001455D4" w:rsidRPr="00062C20" w:rsidRDefault="001455D4" w:rsidP="00E97634">
      <w:pPr>
        <w:spacing w:after="0" w:line="360" w:lineRule="auto"/>
        <w:jc w:val="both"/>
        <w:rPr>
          <w:rFonts w:ascii="Times New Roman" w:hAnsi="Times New Roman" w:cs="Times New Roman"/>
          <w:b/>
          <w:iCs/>
          <w:sz w:val="24"/>
          <w:szCs w:val="24"/>
        </w:rPr>
      </w:pPr>
      <w:r w:rsidRPr="00062C20">
        <w:rPr>
          <w:rFonts w:ascii="Times New Roman" w:hAnsi="Times New Roman" w:cs="Times New Roman"/>
          <w:b/>
          <w:iCs/>
          <w:sz w:val="24"/>
          <w:szCs w:val="24"/>
        </w:rPr>
        <w:t>2.</w:t>
      </w:r>
      <w:r w:rsidR="008F70E6">
        <w:rPr>
          <w:rFonts w:ascii="Times New Roman" w:hAnsi="Times New Roman" w:cs="Times New Roman"/>
          <w:b/>
          <w:iCs/>
          <w:sz w:val="24"/>
          <w:szCs w:val="24"/>
        </w:rPr>
        <w:t>3.2</w:t>
      </w:r>
      <w:r w:rsidRPr="00062C20">
        <w:rPr>
          <w:rFonts w:ascii="Times New Roman" w:hAnsi="Times New Roman" w:cs="Times New Roman"/>
          <w:b/>
          <w:iCs/>
          <w:sz w:val="24"/>
          <w:szCs w:val="24"/>
        </w:rPr>
        <w:t xml:space="preserve"> High-performance liquid chromatography analysis</w:t>
      </w:r>
    </w:p>
    <w:p w14:paraId="37901A66" w14:textId="35FD96BD" w:rsidR="00E7763C" w:rsidRPr="00C91476" w:rsidRDefault="002C6FD9" w:rsidP="00C91476">
      <w:pPr>
        <w:spacing w:after="0" w:line="360" w:lineRule="auto"/>
        <w:ind w:left="426"/>
        <w:jc w:val="both"/>
        <w:rPr>
          <w:rFonts w:ascii="Times New Roman" w:hAnsi="Times New Roman" w:cs="Times New Roman"/>
          <w:bCs/>
          <w:iCs/>
          <w:sz w:val="24"/>
          <w:szCs w:val="24"/>
        </w:rPr>
      </w:pPr>
      <w:r w:rsidRPr="002C6FD9">
        <w:rPr>
          <w:rFonts w:ascii="Times New Roman" w:hAnsi="Times New Roman" w:cs="Times New Roman"/>
          <w:bCs/>
          <w:iCs/>
          <w:sz w:val="24"/>
          <w:szCs w:val="24"/>
        </w:rPr>
        <w:t xml:space="preserve">High-Performance Liquid Chromatography (HPLC) was an instrumental technique used to determine the closeness of the results </w:t>
      </w:r>
      <w:r w:rsidR="00000D99">
        <w:rPr>
          <w:rFonts w:ascii="Times New Roman" w:hAnsi="Times New Roman" w:cs="Times New Roman"/>
          <w:bCs/>
          <w:iCs/>
          <w:sz w:val="24"/>
          <w:szCs w:val="24"/>
        </w:rPr>
        <w:t xml:space="preserve">from the developed method with </w:t>
      </w:r>
      <w:r w:rsidRPr="002C6FD9">
        <w:rPr>
          <w:rFonts w:ascii="Times New Roman" w:hAnsi="Times New Roman" w:cs="Times New Roman"/>
          <w:bCs/>
          <w:iCs/>
          <w:sz w:val="24"/>
          <w:szCs w:val="24"/>
        </w:rPr>
        <w:t xml:space="preserve">TLC image analysis </w:t>
      </w:r>
      <w:r w:rsidR="00000D99">
        <w:rPr>
          <w:rFonts w:ascii="Times New Roman" w:hAnsi="Times New Roman" w:cs="Times New Roman"/>
          <w:bCs/>
          <w:iCs/>
          <w:sz w:val="24"/>
          <w:szCs w:val="24"/>
        </w:rPr>
        <w:t>and</w:t>
      </w:r>
      <w:r w:rsidRPr="002C6FD9">
        <w:rPr>
          <w:rFonts w:ascii="Times New Roman" w:hAnsi="Times New Roman" w:cs="Times New Roman"/>
          <w:bCs/>
          <w:iCs/>
          <w:sz w:val="24"/>
          <w:szCs w:val="24"/>
        </w:rPr>
        <w:t xml:space="preserve"> HPLC. </w:t>
      </w:r>
      <w:r w:rsidR="00000D99">
        <w:rPr>
          <w:rFonts w:ascii="Times New Roman" w:hAnsi="Times New Roman" w:cs="Times New Roman"/>
          <w:bCs/>
          <w:iCs/>
          <w:sz w:val="24"/>
          <w:szCs w:val="24"/>
        </w:rPr>
        <w:t>The calibration curve for the plot for RSP between 50 to 100 ppm. The mobile phase was of methanol:</w:t>
      </w:r>
      <w:r w:rsidR="004C00DB">
        <w:rPr>
          <w:rFonts w:ascii="Times New Roman" w:hAnsi="Times New Roman" w:cs="Times New Roman"/>
          <w:bCs/>
          <w:iCs/>
          <w:sz w:val="24"/>
          <w:szCs w:val="24"/>
        </w:rPr>
        <w:t xml:space="preserve"> </w:t>
      </w:r>
      <w:r w:rsidR="00000D99">
        <w:rPr>
          <w:rFonts w:ascii="Times New Roman" w:hAnsi="Times New Roman" w:cs="Times New Roman"/>
          <w:bCs/>
          <w:iCs/>
          <w:sz w:val="24"/>
          <w:szCs w:val="24"/>
        </w:rPr>
        <w:t>acetonitrile (80:20 v/v)</w:t>
      </w:r>
      <w:r w:rsidR="004C00DB">
        <w:rPr>
          <w:rFonts w:ascii="Times New Roman" w:hAnsi="Times New Roman" w:cs="Times New Roman"/>
          <w:bCs/>
          <w:iCs/>
          <w:sz w:val="24"/>
          <w:szCs w:val="24"/>
        </w:rPr>
        <w:t xml:space="preserve">, and </w:t>
      </w:r>
      <w:r w:rsidR="00000D99">
        <w:rPr>
          <w:rFonts w:ascii="Times New Roman" w:hAnsi="Times New Roman" w:cs="Times New Roman"/>
          <w:bCs/>
          <w:iCs/>
          <w:sz w:val="24"/>
          <w:szCs w:val="24"/>
        </w:rPr>
        <w:t>the flow rate was maintained at 1 m</w:t>
      </w:r>
      <w:r w:rsidR="004C00DB">
        <w:rPr>
          <w:rFonts w:ascii="Times New Roman" w:hAnsi="Times New Roman" w:cs="Times New Roman"/>
          <w:bCs/>
          <w:iCs/>
          <w:sz w:val="24"/>
          <w:szCs w:val="24"/>
        </w:rPr>
        <w:t xml:space="preserve">L/min. The mobile phase was filtered through a 0.45 micron filter paper and ultrasonicated for 10 minutes before use. The sediment phase of blood, urine, and pill samples from the UA-DLLME was made up to 1ml by adding HPLC-grade methanol. </w:t>
      </w:r>
      <w:r w:rsidR="004C00DB" w:rsidRPr="00710462">
        <w:rPr>
          <w:rFonts w:ascii="Times New Roman" w:hAnsi="Times New Roman" w:cs="Times New Roman"/>
          <w:sz w:val="24"/>
          <w:szCs w:val="24"/>
        </w:rPr>
        <w:t>20 µL</w:t>
      </w:r>
      <w:r w:rsidR="004C00DB">
        <w:rPr>
          <w:rFonts w:ascii="Times New Roman" w:hAnsi="Times New Roman" w:cs="Times New Roman"/>
          <w:sz w:val="24"/>
          <w:szCs w:val="24"/>
        </w:rPr>
        <w:t xml:space="preserve"> of each sample was injected into the column (Reverse phase, C</w:t>
      </w:r>
      <w:r w:rsidR="004C00DB">
        <w:rPr>
          <w:rFonts w:ascii="Times New Roman" w:hAnsi="Times New Roman" w:cs="Times New Roman"/>
          <w:sz w:val="24"/>
          <w:szCs w:val="24"/>
          <w:vertAlign w:val="subscript"/>
        </w:rPr>
        <w:t>18</w:t>
      </w:r>
      <w:r w:rsidR="004C00DB">
        <w:rPr>
          <w:rFonts w:ascii="Times New Roman" w:hAnsi="Times New Roman" w:cs="Times New Roman"/>
          <w:sz w:val="24"/>
          <w:szCs w:val="24"/>
        </w:rPr>
        <w:t>)</w:t>
      </w:r>
      <w:r w:rsidR="00BE2246">
        <w:rPr>
          <w:rFonts w:ascii="Times New Roman" w:hAnsi="Times New Roman" w:cs="Times New Roman"/>
          <w:sz w:val="24"/>
          <w:szCs w:val="24"/>
        </w:rPr>
        <w:t xml:space="preserve">, and the run time was standardized at 10 minutes. </w:t>
      </w:r>
      <w:r w:rsidR="00322FBD">
        <w:rPr>
          <w:rFonts w:ascii="Times New Roman" w:hAnsi="Times New Roman" w:cs="Times New Roman"/>
          <w:sz w:val="24"/>
          <w:szCs w:val="24"/>
        </w:rPr>
        <w:t>The</w:t>
      </w:r>
      <w:r w:rsidR="003834D1">
        <w:rPr>
          <w:rFonts w:ascii="Times New Roman" w:hAnsi="Times New Roman" w:cs="Times New Roman"/>
          <w:sz w:val="24"/>
          <w:szCs w:val="24"/>
        </w:rPr>
        <w:t xml:space="preserve"> separation was performed with the C</w:t>
      </w:r>
      <w:r w:rsidR="003834D1">
        <w:rPr>
          <w:rFonts w:ascii="Times New Roman" w:hAnsi="Times New Roman" w:cs="Times New Roman"/>
          <w:sz w:val="24"/>
          <w:szCs w:val="24"/>
          <w:vertAlign w:val="subscript"/>
        </w:rPr>
        <w:t xml:space="preserve">18 </w:t>
      </w:r>
      <w:r w:rsidR="003834D1">
        <w:rPr>
          <w:rFonts w:ascii="Times New Roman" w:hAnsi="Times New Roman" w:cs="Times New Roman"/>
          <w:sz w:val="24"/>
          <w:szCs w:val="24"/>
        </w:rPr>
        <w:t>column (250 x 4.6 mm, 5 micron) at an ambient temperature. The detector used was a photodiode array detector (PDA), and the wavelength was kept between 200-400 nm</w:t>
      </w:r>
      <w:r w:rsidR="00322FBD">
        <w:rPr>
          <w:rFonts w:ascii="Times New Roman" w:hAnsi="Times New Roman" w:cs="Times New Roman"/>
          <w:sz w:val="24"/>
          <w:szCs w:val="24"/>
        </w:rPr>
        <w:t xml:space="preserve"> (fig </w:t>
      </w:r>
      <w:r w:rsidR="002551F6">
        <w:rPr>
          <w:rFonts w:ascii="Times New Roman" w:hAnsi="Times New Roman" w:cs="Times New Roman"/>
          <w:sz w:val="24"/>
          <w:szCs w:val="24"/>
        </w:rPr>
        <w:t>7a, 7b, 7c, and 7d</w:t>
      </w:r>
      <w:r w:rsidR="00322FBD">
        <w:rPr>
          <w:rFonts w:ascii="Times New Roman" w:hAnsi="Times New Roman" w:cs="Times New Roman"/>
          <w:sz w:val="24"/>
          <w:szCs w:val="24"/>
        </w:rPr>
        <w:t>)</w:t>
      </w:r>
      <w:r w:rsidR="003834D1">
        <w:rPr>
          <w:rFonts w:ascii="Times New Roman" w:hAnsi="Times New Roman" w:cs="Times New Roman"/>
          <w:sz w:val="24"/>
          <w:szCs w:val="24"/>
        </w:rPr>
        <w:t>.</w:t>
      </w:r>
    </w:p>
    <w:p w14:paraId="0FDF9CAE" w14:textId="6B1C69FE" w:rsidR="0067698F" w:rsidRDefault="0067698F" w:rsidP="00E97634">
      <w:pPr>
        <w:spacing w:after="0" w:line="360" w:lineRule="auto"/>
        <w:jc w:val="both"/>
        <w:rPr>
          <w:rFonts w:ascii="Times New Roman" w:hAnsi="Times New Roman" w:cs="Times New Roman"/>
          <w:b/>
          <w:i/>
          <w:sz w:val="24"/>
          <w:szCs w:val="24"/>
        </w:rPr>
      </w:pPr>
    </w:p>
    <w:p w14:paraId="3E38EBB0" w14:textId="18069118" w:rsidR="0067698F" w:rsidRDefault="0067698F" w:rsidP="007C51C2">
      <w:pPr>
        <w:spacing w:after="0" w:line="360" w:lineRule="auto"/>
        <w:ind w:left="142" w:right="-177"/>
        <w:jc w:val="both"/>
        <w:rPr>
          <w:rFonts w:ascii="Times New Roman" w:hAnsi="Times New Roman" w:cs="Times New Roman"/>
          <w:b/>
          <w:i/>
          <w:sz w:val="24"/>
          <w:szCs w:val="24"/>
        </w:rPr>
      </w:pPr>
      <w:r w:rsidRPr="0067698F">
        <w:rPr>
          <w:rFonts w:ascii="Times New Roman" w:hAnsi="Times New Roman" w:cs="Times New Roman"/>
          <w:b/>
          <w:i/>
          <w:noProof/>
          <w:sz w:val="24"/>
          <w:szCs w:val="24"/>
          <w:lang w:bidi="hi-IN"/>
        </w:rPr>
        <w:drawing>
          <wp:inline distT="0" distB="0" distL="0" distR="0" wp14:anchorId="6719A797" wp14:editId="2BA399DF">
            <wp:extent cx="3017520" cy="1660988"/>
            <wp:effectExtent l="0" t="0" r="0" b="0"/>
            <wp:docPr id="903020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020173" name=""/>
                    <pic:cNvPicPr/>
                  </pic:nvPicPr>
                  <pic:blipFill>
                    <a:blip r:embed="rId14"/>
                    <a:stretch>
                      <a:fillRect/>
                    </a:stretch>
                  </pic:blipFill>
                  <pic:spPr>
                    <a:xfrm>
                      <a:off x="0" y="0"/>
                      <a:ext cx="3069510" cy="1689606"/>
                    </a:xfrm>
                    <a:prstGeom prst="rect">
                      <a:avLst/>
                    </a:prstGeom>
                  </pic:spPr>
                </pic:pic>
              </a:graphicData>
            </a:graphic>
          </wp:inline>
        </w:drawing>
      </w:r>
      <w:r w:rsidR="007C51C2">
        <w:rPr>
          <w:rFonts w:ascii="Times New Roman" w:hAnsi="Times New Roman" w:cs="Times New Roman"/>
          <w:b/>
          <w:i/>
          <w:sz w:val="24"/>
          <w:szCs w:val="24"/>
        </w:rPr>
        <w:t xml:space="preserve">  </w:t>
      </w:r>
      <w:r w:rsidR="007C51C2" w:rsidRPr="0067698F">
        <w:rPr>
          <w:rFonts w:ascii="Times New Roman" w:hAnsi="Times New Roman" w:cs="Times New Roman"/>
          <w:b/>
          <w:i/>
          <w:noProof/>
          <w:sz w:val="24"/>
          <w:szCs w:val="24"/>
          <w:lang w:bidi="hi-IN"/>
        </w:rPr>
        <w:drawing>
          <wp:inline distT="0" distB="0" distL="0" distR="0" wp14:anchorId="463BD2DF" wp14:editId="4642D240">
            <wp:extent cx="3070860" cy="1663065"/>
            <wp:effectExtent l="0" t="0" r="0" b="0"/>
            <wp:docPr id="1580864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864212" name=""/>
                    <pic:cNvPicPr/>
                  </pic:nvPicPr>
                  <pic:blipFill>
                    <a:blip r:embed="rId15"/>
                    <a:stretch>
                      <a:fillRect/>
                    </a:stretch>
                  </pic:blipFill>
                  <pic:spPr>
                    <a:xfrm>
                      <a:off x="0" y="0"/>
                      <a:ext cx="3084563" cy="1670486"/>
                    </a:xfrm>
                    <a:prstGeom prst="rect">
                      <a:avLst/>
                    </a:prstGeom>
                  </pic:spPr>
                </pic:pic>
              </a:graphicData>
            </a:graphic>
          </wp:inline>
        </w:drawing>
      </w:r>
    </w:p>
    <w:p w14:paraId="4B2B0D70" w14:textId="3AC87879" w:rsidR="00C91476" w:rsidRPr="00C91476" w:rsidRDefault="00C91476" w:rsidP="00C91476">
      <w:pPr>
        <w:pStyle w:val="ListParagraph"/>
        <w:numPr>
          <w:ilvl w:val="0"/>
          <w:numId w:val="4"/>
        </w:numPr>
        <w:spacing w:after="0" w:line="360" w:lineRule="auto"/>
        <w:ind w:left="0" w:right="-177" w:firstLine="0"/>
        <w:jc w:val="center"/>
        <w:rPr>
          <w:rFonts w:ascii="Times New Roman" w:hAnsi="Times New Roman" w:cs="Times New Roman"/>
          <w:bCs/>
          <w:iCs/>
          <w:sz w:val="24"/>
          <w:szCs w:val="24"/>
        </w:rPr>
      </w:pPr>
      <w:r>
        <w:rPr>
          <w:rFonts w:ascii="Times New Roman" w:hAnsi="Times New Roman" w:cs="Times New Roman"/>
          <w:bCs/>
          <w:iCs/>
          <w:sz w:val="24"/>
          <w:szCs w:val="24"/>
        </w:rPr>
        <w:t xml:space="preserve">                                                                         </w:t>
      </w:r>
      <w:r w:rsidRPr="00C91476">
        <w:rPr>
          <w:rFonts w:ascii="Times New Roman" w:hAnsi="Times New Roman" w:cs="Times New Roman"/>
          <w:bCs/>
          <w:iCs/>
          <w:sz w:val="24"/>
          <w:szCs w:val="24"/>
        </w:rPr>
        <w:t>(b)</w:t>
      </w:r>
    </w:p>
    <w:p w14:paraId="4AF2AD03" w14:textId="196F28DE" w:rsidR="00864718" w:rsidRDefault="00864718" w:rsidP="007C51C2">
      <w:pPr>
        <w:spacing w:after="0" w:line="360" w:lineRule="auto"/>
        <w:ind w:left="142" w:right="-177"/>
        <w:jc w:val="both"/>
        <w:rPr>
          <w:rFonts w:ascii="Times New Roman" w:hAnsi="Times New Roman" w:cs="Times New Roman"/>
          <w:b/>
          <w:i/>
          <w:sz w:val="24"/>
          <w:szCs w:val="24"/>
        </w:rPr>
      </w:pPr>
      <w:r w:rsidRPr="0067698F">
        <w:rPr>
          <w:rFonts w:ascii="Times New Roman" w:hAnsi="Times New Roman" w:cs="Times New Roman"/>
          <w:b/>
          <w:i/>
          <w:noProof/>
          <w:sz w:val="24"/>
          <w:szCs w:val="24"/>
          <w:lang w:bidi="hi-IN"/>
        </w:rPr>
        <w:lastRenderedPageBreak/>
        <w:drawing>
          <wp:inline distT="0" distB="0" distL="0" distR="0" wp14:anchorId="423B1487" wp14:editId="2401F3F7">
            <wp:extent cx="3029203" cy="1999615"/>
            <wp:effectExtent l="0" t="0" r="0" b="0"/>
            <wp:docPr id="18257721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772131" name=""/>
                    <pic:cNvPicPr/>
                  </pic:nvPicPr>
                  <pic:blipFill>
                    <a:blip r:embed="rId16"/>
                    <a:stretch>
                      <a:fillRect/>
                    </a:stretch>
                  </pic:blipFill>
                  <pic:spPr>
                    <a:xfrm>
                      <a:off x="0" y="0"/>
                      <a:ext cx="3071058" cy="2027244"/>
                    </a:xfrm>
                    <a:prstGeom prst="rect">
                      <a:avLst/>
                    </a:prstGeom>
                  </pic:spPr>
                </pic:pic>
              </a:graphicData>
            </a:graphic>
          </wp:inline>
        </w:drawing>
      </w:r>
      <w:r w:rsidRPr="0067698F">
        <w:rPr>
          <w:rFonts w:ascii="Times New Roman" w:hAnsi="Times New Roman" w:cs="Times New Roman"/>
          <w:b/>
          <w:i/>
          <w:noProof/>
          <w:sz w:val="24"/>
          <w:szCs w:val="24"/>
          <w:lang w:bidi="hi-IN"/>
        </w:rPr>
        <w:drawing>
          <wp:inline distT="0" distB="0" distL="0" distR="0" wp14:anchorId="587F9088" wp14:editId="267294F7">
            <wp:extent cx="3077845" cy="1990956"/>
            <wp:effectExtent l="0" t="0" r="0" b="0"/>
            <wp:docPr id="622618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618681" name=""/>
                    <pic:cNvPicPr/>
                  </pic:nvPicPr>
                  <pic:blipFill>
                    <a:blip r:embed="rId17"/>
                    <a:stretch>
                      <a:fillRect/>
                    </a:stretch>
                  </pic:blipFill>
                  <pic:spPr>
                    <a:xfrm>
                      <a:off x="0" y="0"/>
                      <a:ext cx="3130833" cy="2025232"/>
                    </a:xfrm>
                    <a:prstGeom prst="rect">
                      <a:avLst/>
                    </a:prstGeom>
                  </pic:spPr>
                </pic:pic>
              </a:graphicData>
            </a:graphic>
          </wp:inline>
        </w:drawing>
      </w:r>
    </w:p>
    <w:p w14:paraId="42FB75BA" w14:textId="2ACF995A" w:rsidR="00C91476" w:rsidRPr="00C91476" w:rsidRDefault="00C91476" w:rsidP="00C91476">
      <w:pPr>
        <w:pStyle w:val="ListParagraph"/>
        <w:spacing w:after="0" w:line="360" w:lineRule="auto"/>
        <w:ind w:left="0" w:right="-177"/>
        <w:jc w:val="center"/>
        <w:rPr>
          <w:rFonts w:ascii="Times New Roman" w:hAnsi="Times New Roman" w:cs="Times New Roman"/>
          <w:bCs/>
          <w:iCs/>
          <w:sz w:val="24"/>
          <w:szCs w:val="24"/>
        </w:rPr>
      </w:pPr>
      <w:r>
        <w:rPr>
          <w:rFonts w:ascii="Times New Roman" w:hAnsi="Times New Roman" w:cs="Times New Roman"/>
          <w:bCs/>
          <w:iCs/>
          <w:sz w:val="24"/>
          <w:szCs w:val="24"/>
        </w:rPr>
        <w:t>(c)</w:t>
      </w:r>
      <w:r w:rsidRPr="00C91476">
        <w:rPr>
          <w:rFonts w:ascii="Times New Roman" w:hAnsi="Times New Roman" w:cs="Times New Roman"/>
          <w:bCs/>
          <w:iCs/>
          <w:sz w:val="24"/>
          <w:szCs w:val="24"/>
        </w:rPr>
        <w:t xml:space="preserve">                                       </w:t>
      </w:r>
      <w:r>
        <w:rPr>
          <w:rFonts w:ascii="Times New Roman" w:hAnsi="Times New Roman" w:cs="Times New Roman"/>
          <w:bCs/>
          <w:iCs/>
          <w:sz w:val="24"/>
          <w:szCs w:val="24"/>
        </w:rPr>
        <w:t xml:space="preserve">                        </w:t>
      </w:r>
      <w:r w:rsidRPr="00C91476">
        <w:rPr>
          <w:rFonts w:ascii="Times New Roman" w:hAnsi="Times New Roman" w:cs="Times New Roman"/>
          <w:bCs/>
          <w:iCs/>
          <w:sz w:val="24"/>
          <w:szCs w:val="24"/>
        </w:rPr>
        <w:t xml:space="preserve">            </w:t>
      </w:r>
      <w:proofErr w:type="gramStart"/>
      <w:r w:rsidRPr="00C91476">
        <w:rPr>
          <w:rFonts w:ascii="Times New Roman" w:hAnsi="Times New Roman" w:cs="Times New Roman"/>
          <w:bCs/>
          <w:iCs/>
          <w:sz w:val="24"/>
          <w:szCs w:val="24"/>
        </w:rPr>
        <w:t xml:space="preserve">   (</w:t>
      </w:r>
      <w:proofErr w:type="gramEnd"/>
      <w:r w:rsidRPr="00C91476">
        <w:rPr>
          <w:rFonts w:ascii="Times New Roman" w:hAnsi="Times New Roman" w:cs="Times New Roman"/>
          <w:bCs/>
          <w:iCs/>
          <w:sz w:val="24"/>
          <w:szCs w:val="24"/>
        </w:rPr>
        <w:t>d)</w:t>
      </w:r>
    </w:p>
    <w:p w14:paraId="4CF045D7" w14:textId="28F12332" w:rsidR="00864718" w:rsidRDefault="00864718" w:rsidP="007C51C2">
      <w:pPr>
        <w:spacing w:after="0" w:line="360" w:lineRule="auto"/>
        <w:ind w:left="142" w:right="-177"/>
        <w:jc w:val="both"/>
        <w:rPr>
          <w:rFonts w:ascii="Times New Roman" w:hAnsi="Times New Roman" w:cs="Times New Roman"/>
          <w:b/>
          <w:i/>
          <w:sz w:val="24"/>
          <w:szCs w:val="24"/>
        </w:rPr>
      </w:pPr>
    </w:p>
    <w:p w14:paraId="4C5C1FC7" w14:textId="2CCCC38F" w:rsidR="00AF19BE" w:rsidRPr="00A479FA" w:rsidRDefault="00322FBD" w:rsidP="00A479FA">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 xml:space="preserve">Figure </w:t>
      </w:r>
      <w:r w:rsidR="002551F6">
        <w:rPr>
          <w:rFonts w:ascii="Times New Roman" w:hAnsi="Times New Roman" w:cs="Times New Roman"/>
          <w:bCs/>
          <w:iCs/>
          <w:sz w:val="24"/>
          <w:szCs w:val="24"/>
        </w:rPr>
        <w:t>7</w:t>
      </w:r>
      <w:r>
        <w:rPr>
          <w:rFonts w:ascii="Times New Roman" w:hAnsi="Times New Roman" w:cs="Times New Roman"/>
          <w:bCs/>
          <w:iCs/>
          <w:sz w:val="24"/>
          <w:szCs w:val="24"/>
        </w:rPr>
        <w:t xml:space="preserve">: </w:t>
      </w:r>
      <w:r w:rsidR="008D128A" w:rsidRPr="008D128A">
        <w:rPr>
          <w:rFonts w:ascii="Times New Roman" w:hAnsi="Times New Roman" w:cs="Times New Roman"/>
          <w:bCs/>
          <w:iCs/>
          <w:sz w:val="24"/>
          <w:szCs w:val="24"/>
        </w:rPr>
        <w:t xml:space="preserve">HPLC chromatogram of RSP </w:t>
      </w:r>
      <w:r w:rsidR="007C51C2">
        <w:rPr>
          <w:rFonts w:ascii="Times New Roman" w:hAnsi="Times New Roman" w:cs="Times New Roman"/>
          <w:bCs/>
          <w:iCs/>
          <w:sz w:val="24"/>
          <w:szCs w:val="24"/>
        </w:rPr>
        <w:t xml:space="preserve">(a) </w:t>
      </w:r>
      <w:r w:rsidR="008D128A" w:rsidRPr="008D128A">
        <w:rPr>
          <w:rFonts w:ascii="Times New Roman" w:hAnsi="Times New Roman" w:cs="Times New Roman"/>
          <w:bCs/>
          <w:iCs/>
          <w:sz w:val="24"/>
          <w:szCs w:val="24"/>
        </w:rPr>
        <w:t>standard at 80 ppm</w:t>
      </w:r>
      <w:r w:rsidR="007C51C2">
        <w:rPr>
          <w:rFonts w:ascii="Times New Roman" w:hAnsi="Times New Roman" w:cs="Times New Roman"/>
          <w:bCs/>
          <w:iCs/>
          <w:sz w:val="24"/>
          <w:szCs w:val="24"/>
        </w:rPr>
        <w:t>, (b) blood sample, (c) urine sample, and (d) pill sample.</w:t>
      </w:r>
    </w:p>
    <w:p w14:paraId="0E94D264" w14:textId="77777777" w:rsidR="00417973" w:rsidRPr="008D128A" w:rsidRDefault="00417973" w:rsidP="008D128A">
      <w:pPr>
        <w:spacing w:after="0" w:line="360" w:lineRule="auto"/>
        <w:jc w:val="center"/>
        <w:rPr>
          <w:rFonts w:ascii="Times New Roman" w:hAnsi="Times New Roman" w:cs="Times New Roman"/>
          <w:bCs/>
          <w:iCs/>
          <w:sz w:val="24"/>
          <w:szCs w:val="24"/>
        </w:rPr>
      </w:pPr>
    </w:p>
    <w:p w14:paraId="2CC02BC3" w14:textId="6A605210" w:rsidR="00A4346A" w:rsidRPr="00062C20" w:rsidRDefault="00A4346A" w:rsidP="00E97634">
      <w:pPr>
        <w:pStyle w:val="ListParagraph"/>
        <w:numPr>
          <w:ilvl w:val="0"/>
          <w:numId w:val="3"/>
        </w:numPr>
        <w:spacing w:after="0" w:line="360" w:lineRule="auto"/>
        <w:ind w:left="284" w:hanging="284"/>
        <w:jc w:val="both"/>
        <w:rPr>
          <w:rFonts w:ascii="Times New Roman" w:hAnsi="Times New Roman" w:cs="Times New Roman"/>
          <w:b/>
          <w:sz w:val="24"/>
          <w:szCs w:val="24"/>
        </w:rPr>
      </w:pPr>
      <w:r w:rsidRPr="00062C20">
        <w:rPr>
          <w:rFonts w:ascii="Times New Roman" w:hAnsi="Times New Roman" w:cs="Times New Roman"/>
          <w:b/>
          <w:sz w:val="24"/>
          <w:szCs w:val="24"/>
        </w:rPr>
        <w:t>Result</w:t>
      </w:r>
      <w:r w:rsidR="00D87030" w:rsidRPr="00062C20">
        <w:rPr>
          <w:rFonts w:ascii="Times New Roman" w:hAnsi="Times New Roman" w:cs="Times New Roman"/>
          <w:b/>
          <w:sz w:val="24"/>
          <w:szCs w:val="24"/>
        </w:rPr>
        <w:t>s</w:t>
      </w:r>
      <w:r w:rsidR="00E97634" w:rsidRPr="00062C20">
        <w:rPr>
          <w:rFonts w:ascii="Times New Roman" w:hAnsi="Times New Roman" w:cs="Times New Roman"/>
          <w:b/>
          <w:sz w:val="24"/>
          <w:szCs w:val="24"/>
        </w:rPr>
        <w:t xml:space="preserve"> and Discussion</w:t>
      </w:r>
    </w:p>
    <w:p w14:paraId="635BA7C9" w14:textId="01835B95" w:rsidR="00A4346A" w:rsidRPr="00AF19BE" w:rsidRDefault="001D2E97" w:rsidP="00AF19BE">
      <w:pPr>
        <w:pStyle w:val="ListParagraph"/>
        <w:numPr>
          <w:ilvl w:val="1"/>
          <w:numId w:val="3"/>
        </w:numPr>
        <w:spacing w:after="0" w:line="360" w:lineRule="auto"/>
        <w:jc w:val="both"/>
        <w:rPr>
          <w:rFonts w:ascii="Times New Roman" w:hAnsi="Times New Roman" w:cs="Times New Roman"/>
          <w:b/>
          <w:iCs/>
          <w:sz w:val="24"/>
          <w:szCs w:val="24"/>
        </w:rPr>
      </w:pPr>
      <w:r w:rsidRPr="00AF19BE">
        <w:rPr>
          <w:rFonts w:ascii="Times New Roman" w:hAnsi="Times New Roman" w:cs="Times New Roman"/>
          <w:b/>
          <w:iCs/>
          <w:sz w:val="24"/>
          <w:szCs w:val="24"/>
        </w:rPr>
        <w:t>Optimization</w:t>
      </w:r>
    </w:p>
    <w:p w14:paraId="26E6DB5B" w14:textId="6BCF6931" w:rsidR="00AF19BE" w:rsidRPr="00AF19BE" w:rsidRDefault="00AF19BE" w:rsidP="00AF19BE">
      <w:pPr>
        <w:spacing w:after="0" w:line="360" w:lineRule="auto"/>
        <w:ind w:left="284"/>
        <w:jc w:val="both"/>
        <w:rPr>
          <w:rFonts w:ascii="Times New Roman" w:hAnsi="Times New Roman" w:cs="Times New Roman"/>
          <w:sz w:val="24"/>
          <w:szCs w:val="24"/>
        </w:rPr>
      </w:pPr>
      <w:r w:rsidRPr="00AF19BE">
        <w:rPr>
          <w:rFonts w:ascii="Times New Roman" w:hAnsi="Times New Roman" w:cs="Times New Roman"/>
          <w:sz w:val="24"/>
          <w:szCs w:val="24"/>
        </w:rPr>
        <w:t>The optimization process was performed to study the standard conditions, namely, the extraction solvent and its volume, the disperser solvent and its volume, pH, ionic strength, and extraction mode</w:t>
      </w:r>
      <w:r w:rsidR="00587035">
        <w:rPr>
          <w:rFonts w:ascii="Times New Roman" w:hAnsi="Times New Roman" w:cs="Times New Roman"/>
          <w:sz w:val="24"/>
          <w:szCs w:val="24"/>
        </w:rPr>
        <w:t>, using a single-variable-at-a-time approach to extract RSP</w:t>
      </w:r>
      <w:r w:rsidRPr="00AF19BE">
        <w:rPr>
          <w:rFonts w:ascii="Times New Roman" w:hAnsi="Times New Roman" w:cs="Times New Roman"/>
          <w:sz w:val="24"/>
          <w:szCs w:val="24"/>
        </w:rPr>
        <w:t xml:space="preserve">. To choose the best solvent system for RSP chloroform–ethanol (7:3 </w:t>
      </w:r>
      <w:r w:rsidRPr="00AF19BE">
        <w:rPr>
          <w:rFonts w:ascii="Times New Roman" w:hAnsi="Times New Roman" w:cs="Times New Roman"/>
          <w:i/>
          <w:sz w:val="24"/>
          <w:szCs w:val="24"/>
        </w:rPr>
        <w:t>v/v</w:t>
      </w:r>
      <w:r w:rsidRPr="00AF19BE">
        <w:rPr>
          <w:rFonts w:ascii="Times New Roman" w:hAnsi="Times New Roman" w:cs="Times New Roman"/>
          <w:sz w:val="24"/>
          <w:szCs w:val="24"/>
        </w:rPr>
        <w:t xml:space="preserve">) </w:t>
      </w:r>
      <w:r w:rsidRPr="00723B9B">
        <w:rPr>
          <w:rFonts w:ascii="Times New Roman" w:hAnsi="Times New Roman" w:cs="Times New Roman"/>
          <w:sz w:val="24"/>
          <w:szCs w:val="24"/>
        </w:rPr>
        <w:t>(</w:t>
      </w:r>
      <w:r w:rsidRPr="00723B9B">
        <w:rPr>
          <w:rFonts w:ascii="Times New Roman" w:hAnsi="Times New Roman" w:cs="Times New Roman"/>
          <w:sz w:val="24"/>
          <w:szCs w:val="24"/>
          <w:shd w:val="clear" w:color="auto" w:fill="FFFFFF"/>
        </w:rPr>
        <w:t>Belova et al., 2020</w:t>
      </w:r>
      <w:r w:rsidRPr="00723B9B">
        <w:rPr>
          <w:rFonts w:ascii="Times New Roman" w:hAnsi="Times New Roman" w:cs="Times New Roman"/>
          <w:sz w:val="24"/>
          <w:szCs w:val="24"/>
        </w:rPr>
        <w:t>)</w:t>
      </w:r>
      <w:r w:rsidRPr="00AF19BE">
        <w:rPr>
          <w:rFonts w:ascii="Times New Roman" w:hAnsi="Times New Roman" w:cs="Times New Roman"/>
          <w:sz w:val="24"/>
          <w:szCs w:val="24"/>
        </w:rPr>
        <w:t xml:space="preserve">, ethyl acetate–methanol–ammonia solution (85:10:5 </w:t>
      </w:r>
      <w:r w:rsidRPr="00AF19BE">
        <w:rPr>
          <w:rFonts w:ascii="Times New Roman" w:hAnsi="Times New Roman" w:cs="Times New Roman"/>
          <w:i/>
          <w:sz w:val="24"/>
          <w:szCs w:val="24"/>
        </w:rPr>
        <w:t>v/v/v</w:t>
      </w:r>
      <w:r w:rsidRPr="00AF19BE">
        <w:rPr>
          <w:rFonts w:ascii="Times New Roman" w:hAnsi="Times New Roman" w:cs="Times New Roman"/>
          <w:sz w:val="24"/>
          <w:szCs w:val="24"/>
        </w:rPr>
        <w:t>) (</w:t>
      </w:r>
      <w:r w:rsidRPr="00AF19BE">
        <w:rPr>
          <w:rFonts w:ascii="Times New Roman" w:hAnsi="Times New Roman" w:cs="Times New Roman"/>
          <w:color w:val="222222"/>
          <w:sz w:val="24"/>
          <w:szCs w:val="24"/>
          <w:shd w:val="clear" w:color="auto" w:fill="FFFFFF"/>
        </w:rPr>
        <w:t>Belova et al., 2020</w:t>
      </w:r>
      <w:r w:rsidRPr="00AF19BE">
        <w:rPr>
          <w:rFonts w:ascii="Times New Roman" w:hAnsi="Times New Roman" w:cs="Times New Roman"/>
          <w:sz w:val="24"/>
          <w:szCs w:val="24"/>
        </w:rPr>
        <w:t xml:space="preserve">), and butanol–acetic acid–water (12:3:5 </w:t>
      </w:r>
      <w:r w:rsidRPr="00AF19BE">
        <w:rPr>
          <w:rFonts w:ascii="Times New Roman" w:hAnsi="Times New Roman" w:cs="Times New Roman"/>
          <w:i/>
          <w:sz w:val="24"/>
          <w:szCs w:val="24"/>
        </w:rPr>
        <w:t>v/v/v</w:t>
      </w:r>
      <w:r w:rsidRPr="00AF19BE">
        <w:rPr>
          <w:rFonts w:ascii="Times New Roman" w:hAnsi="Times New Roman" w:cs="Times New Roman"/>
          <w:sz w:val="24"/>
          <w:szCs w:val="24"/>
        </w:rPr>
        <w:t xml:space="preserve">) </w:t>
      </w:r>
      <w:r w:rsidRPr="00723B9B">
        <w:rPr>
          <w:rFonts w:ascii="Times New Roman" w:hAnsi="Times New Roman" w:cs="Times New Roman"/>
          <w:sz w:val="24"/>
          <w:szCs w:val="24"/>
        </w:rPr>
        <w:t>(</w:t>
      </w:r>
      <w:r w:rsidRPr="00723B9B">
        <w:rPr>
          <w:rFonts w:ascii="Times New Roman" w:hAnsi="Times New Roman" w:cs="Times New Roman"/>
          <w:sz w:val="24"/>
          <w:szCs w:val="24"/>
          <w:shd w:val="clear" w:color="auto" w:fill="FFFFFF"/>
        </w:rPr>
        <w:t>Maślanka et al., 2009)</w:t>
      </w:r>
      <w:r w:rsidRPr="00AF19BE">
        <w:rPr>
          <w:rFonts w:ascii="Times New Roman" w:hAnsi="Times New Roman" w:cs="Times New Roman"/>
          <w:sz w:val="24"/>
          <w:szCs w:val="24"/>
        </w:rPr>
        <w:t xml:space="preserve"> were screened.  The combination of ethyl acetate–methanol–ammonia solution (85:10:5 </w:t>
      </w:r>
      <w:r w:rsidRPr="00AF19BE">
        <w:rPr>
          <w:rFonts w:ascii="Times New Roman" w:hAnsi="Times New Roman" w:cs="Times New Roman"/>
          <w:i/>
          <w:sz w:val="24"/>
          <w:szCs w:val="24"/>
        </w:rPr>
        <w:t>v/v/v</w:t>
      </w:r>
      <w:r w:rsidRPr="00AF19BE">
        <w:rPr>
          <w:rFonts w:ascii="Times New Roman" w:hAnsi="Times New Roman" w:cs="Times New Roman"/>
          <w:sz w:val="24"/>
          <w:szCs w:val="24"/>
        </w:rPr>
        <w:t xml:space="preserve">) showed the best separation of RSP. Also, the saturation time was altered between the ranges of 15 to 30 minutes, which is important for selecting the solvent system. The saturation time for 15 minutes was finalized as it provides the best yield. The solvent system ethyl acetate–methanol–ammonia solution (85:10:5 </w:t>
      </w:r>
      <w:r w:rsidRPr="00AF19BE">
        <w:rPr>
          <w:rFonts w:ascii="Times New Roman" w:hAnsi="Times New Roman" w:cs="Times New Roman"/>
          <w:i/>
          <w:sz w:val="24"/>
          <w:szCs w:val="24"/>
        </w:rPr>
        <w:t>v/v/v</w:t>
      </w:r>
      <w:r w:rsidRPr="00AF19BE">
        <w:rPr>
          <w:rFonts w:ascii="Times New Roman" w:hAnsi="Times New Roman" w:cs="Times New Roman"/>
          <w:sz w:val="24"/>
          <w:szCs w:val="24"/>
        </w:rPr>
        <w:t xml:space="preserve">) </w:t>
      </w:r>
      <w:r w:rsidR="00587035">
        <w:rPr>
          <w:rFonts w:ascii="Times New Roman" w:hAnsi="Times New Roman" w:cs="Times New Roman"/>
          <w:sz w:val="24"/>
          <w:szCs w:val="24"/>
        </w:rPr>
        <w:t>with a</w:t>
      </w:r>
      <w:r w:rsidRPr="00AF19BE">
        <w:rPr>
          <w:rFonts w:ascii="Times New Roman" w:hAnsi="Times New Roman" w:cs="Times New Roman"/>
          <w:sz w:val="24"/>
          <w:szCs w:val="24"/>
        </w:rPr>
        <w:t xml:space="preserve"> 15 minutes saturation time was selected (fig </w:t>
      </w:r>
      <w:r w:rsidR="00C87389">
        <w:rPr>
          <w:rFonts w:ascii="Times New Roman" w:hAnsi="Times New Roman" w:cs="Times New Roman"/>
          <w:sz w:val="24"/>
          <w:szCs w:val="24"/>
        </w:rPr>
        <w:t>8</w:t>
      </w:r>
      <w:r w:rsidRPr="00AF19BE">
        <w:rPr>
          <w:rFonts w:ascii="Times New Roman" w:hAnsi="Times New Roman" w:cs="Times New Roman"/>
          <w:sz w:val="24"/>
          <w:szCs w:val="24"/>
        </w:rPr>
        <w:t>).</w:t>
      </w:r>
    </w:p>
    <w:p w14:paraId="76038E9F" w14:textId="77777777" w:rsidR="00AF19BE" w:rsidRPr="00AF19BE" w:rsidRDefault="00AF19BE" w:rsidP="00AF19BE">
      <w:pPr>
        <w:spacing w:after="0" w:line="360" w:lineRule="auto"/>
        <w:ind w:left="284"/>
        <w:jc w:val="both"/>
        <w:rPr>
          <w:rFonts w:ascii="Times New Roman" w:hAnsi="Times New Roman" w:cs="Times New Roman"/>
          <w:b/>
          <w:iCs/>
          <w:sz w:val="24"/>
          <w:szCs w:val="24"/>
        </w:rPr>
      </w:pPr>
    </w:p>
    <w:p w14:paraId="4EDDF688" w14:textId="431D28C4" w:rsidR="005C2B9B" w:rsidRDefault="007C51C2" w:rsidP="00AF19BE">
      <w:pPr>
        <w:spacing w:after="0" w:line="360" w:lineRule="auto"/>
        <w:jc w:val="center"/>
        <w:rPr>
          <w:rFonts w:ascii="Times New Roman" w:hAnsi="Times New Roman" w:cs="Times New Roman"/>
          <w:sz w:val="24"/>
          <w:szCs w:val="24"/>
          <w:lang w:val="en-IN"/>
        </w:rPr>
      </w:pPr>
      <w:r>
        <w:rPr>
          <w:rFonts w:ascii="Times New Roman" w:hAnsi="Times New Roman" w:cs="Times New Roman"/>
          <w:noProof/>
          <w:sz w:val="24"/>
          <w:szCs w:val="24"/>
          <w:lang w:bidi="hi-IN"/>
        </w:rPr>
        <w:lastRenderedPageBreak/>
        <w:drawing>
          <wp:inline distT="0" distB="0" distL="0" distR="0" wp14:anchorId="3E5C3EA3" wp14:editId="4C9D218E">
            <wp:extent cx="3230880" cy="1028700"/>
            <wp:effectExtent l="0" t="0" r="0" b="0"/>
            <wp:docPr id="2009584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30880" cy="1028700"/>
                    </a:xfrm>
                    <a:prstGeom prst="rect">
                      <a:avLst/>
                    </a:prstGeom>
                    <a:noFill/>
                    <a:ln>
                      <a:noFill/>
                    </a:ln>
                  </pic:spPr>
                </pic:pic>
              </a:graphicData>
            </a:graphic>
          </wp:inline>
        </w:drawing>
      </w:r>
    </w:p>
    <w:p w14:paraId="744E1551" w14:textId="3B102BF6" w:rsidR="005C2B9B" w:rsidRPr="005C2B9B" w:rsidRDefault="005C2B9B" w:rsidP="005C2B9B">
      <w:pPr>
        <w:spacing w:after="0" w:line="360" w:lineRule="auto"/>
        <w:ind w:left="426"/>
        <w:jc w:val="center"/>
        <w:rPr>
          <w:rFonts w:ascii="Times New Roman" w:hAnsi="Times New Roman" w:cs="Times New Roman"/>
          <w:sz w:val="24"/>
          <w:szCs w:val="24"/>
          <w:lang w:val="en-IN"/>
        </w:rPr>
      </w:pPr>
      <w:r>
        <w:rPr>
          <w:rFonts w:ascii="Times New Roman" w:hAnsi="Times New Roman" w:cs="Times New Roman"/>
          <w:sz w:val="24"/>
          <w:szCs w:val="24"/>
          <w:lang w:val="en-IN"/>
        </w:rPr>
        <w:t xml:space="preserve">Figure </w:t>
      </w:r>
      <w:r w:rsidR="00C87389">
        <w:rPr>
          <w:rFonts w:ascii="Times New Roman" w:hAnsi="Times New Roman" w:cs="Times New Roman"/>
          <w:sz w:val="24"/>
          <w:szCs w:val="24"/>
          <w:lang w:val="en-IN"/>
        </w:rPr>
        <w:t>8</w:t>
      </w:r>
      <w:r>
        <w:rPr>
          <w:rFonts w:ascii="Times New Roman" w:hAnsi="Times New Roman" w:cs="Times New Roman"/>
          <w:sz w:val="24"/>
          <w:szCs w:val="24"/>
          <w:lang w:val="en-IN"/>
        </w:rPr>
        <w:t xml:space="preserve">: Screening of mobile phase for RSP at concentration 4 </w:t>
      </w:r>
      <w:r>
        <w:rPr>
          <w:rFonts w:ascii="Times New Roman" w:hAnsi="Times New Roman" w:cs="Times New Roman"/>
          <w:sz w:val="24"/>
          <w:szCs w:val="24"/>
        </w:rPr>
        <w:t>mg/ml and 10 mg/ml</w:t>
      </w:r>
      <w:r>
        <w:rPr>
          <w:rFonts w:ascii="Times New Roman" w:hAnsi="Times New Roman" w:cs="Times New Roman"/>
          <w:sz w:val="24"/>
          <w:szCs w:val="24"/>
          <w:lang w:val="en-IN"/>
        </w:rPr>
        <w:t>.</w:t>
      </w:r>
    </w:p>
    <w:p w14:paraId="6AEF2AE9" w14:textId="77777777" w:rsidR="005C2B9B" w:rsidRPr="00062C20" w:rsidRDefault="005C2B9B" w:rsidP="005C2B9B">
      <w:pPr>
        <w:spacing w:after="0" w:line="360" w:lineRule="auto"/>
        <w:jc w:val="both"/>
        <w:rPr>
          <w:rFonts w:ascii="Times New Roman" w:hAnsi="Times New Roman" w:cs="Times New Roman"/>
          <w:sz w:val="24"/>
          <w:szCs w:val="24"/>
        </w:rPr>
      </w:pPr>
    </w:p>
    <w:p w14:paraId="4EC07648" w14:textId="29977B86" w:rsidR="00E7763C" w:rsidRDefault="00893D9A" w:rsidP="003834D1">
      <w:pPr>
        <w:spacing w:after="0" w:line="360" w:lineRule="auto"/>
        <w:ind w:left="426"/>
        <w:jc w:val="both"/>
        <w:rPr>
          <w:rFonts w:ascii="Times New Roman" w:hAnsi="Times New Roman" w:cs="Times New Roman"/>
          <w:sz w:val="24"/>
          <w:szCs w:val="24"/>
        </w:rPr>
      </w:pPr>
      <w:r w:rsidRPr="00062C20">
        <w:rPr>
          <w:rFonts w:ascii="Times New Roman" w:hAnsi="Times New Roman" w:cs="Times New Roman"/>
          <w:sz w:val="24"/>
          <w:szCs w:val="24"/>
        </w:rPr>
        <w:t xml:space="preserve">The requirement for the extraction solvent to be used for DLLME </w:t>
      </w:r>
      <w:r w:rsidR="00443550" w:rsidRPr="00062C20">
        <w:rPr>
          <w:rFonts w:ascii="Times New Roman" w:hAnsi="Times New Roman" w:cs="Times New Roman"/>
          <w:sz w:val="24"/>
          <w:szCs w:val="24"/>
        </w:rPr>
        <w:t xml:space="preserve">is </w:t>
      </w:r>
      <w:r w:rsidRPr="00062C20">
        <w:rPr>
          <w:rFonts w:ascii="Times New Roman" w:hAnsi="Times New Roman" w:cs="Times New Roman"/>
          <w:sz w:val="24"/>
          <w:szCs w:val="24"/>
        </w:rPr>
        <w:t>that it should be denser than water, hence, trichloroeth</w:t>
      </w:r>
      <w:r w:rsidR="00056A38" w:rsidRPr="00062C20">
        <w:rPr>
          <w:rFonts w:ascii="Times New Roman" w:hAnsi="Times New Roman" w:cs="Times New Roman"/>
          <w:sz w:val="24"/>
          <w:szCs w:val="24"/>
        </w:rPr>
        <w:t>yle</w:t>
      </w:r>
      <w:r w:rsidRPr="00062C20">
        <w:rPr>
          <w:rFonts w:ascii="Times New Roman" w:hAnsi="Times New Roman" w:cs="Times New Roman"/>
          <w:sz w:val="24"/>
          <w:szCs w:val="24"/>
        </w:rPr>
        <w:t>ne (TCE) (</w:t>
      </w:r>
      <w:r w:rsidRPr="00062C20">
        <w:rPr>
          <w:rFonts w:ascii="Times New Roman" w:hAnsi="Times New Roman" w:cs="Times New Roman"/>
          <w:i/>
          <w:iCs/>
          <w:sz w:val="24"/>
          <w:szCs w:val="24"/>
        </w:rPr>
        <w:t>d</w:t>
      </w:r>
      <w:r w:rsidR="00F21184" w:rsidRPr="00062C20">
        <w:rPr>
          <w:rFonts w:ascii="Times New Roman" w:hAnsi="Times New Roman" w:cs="Times New Roman"/>
          <w:sz w:val="24"/>
          <w:szCs w:val="24"/>
        </w:rPr>
        <w:t xml:space="preserve"> </w:t>
      </w:r>
      <w:r w:rsidRPr="00062C20">
        <w:rPr>
          <w:rFonts w:ascii="Times New Roman" w:hAnsi="Times New Roman" w:cs="Times New Roman"/>
          <w:sz w:val="24"/>
          <w:szCs w:val="24"/>
        </w:rPr>
        <w:t>=</w:t>
      </w:r>
      <w:r w:rsidR="00F21184" w:rsidRPr="00062C20">
        <w:rPr>
          <w:rFonts w:ascii="Times New Roman" w:hAnsi="Times New Roman" w:cs="Times New Roman"/>
          <w:sz w:val="24"/>
          <w:szCs w:val="24"/>
        </w:rPr>
        <w:t xml:space="preserve"> </w:t>
      </w:r>
      <w:r w:rsidRPr="00062C20">
        <w:rPr>
          <w:rFonts w:ascii="Times New Roman" w:hAnsi="Times New Roman" w:cs="Times New Roman"/>
          <w:sz w:val="24"/>
          <w:szCs w:val="24"/>
        </w:rPr>
        <w:t>1.46), chlorobenzene (CB) (</w:t>
      </w:r>
      <w:r w:rsidRPr="00062C20">
        <w:rPr>
          <w:rFonts w:ascii="Times New Roman" w:hAnsi="Times New Roman" w:cs="Times New Roman"/>
          <w:i/>
          <w:iCs/>
          <w:sz w:val="24"/>
          <w:szCs w:val="24"/>
        </w:rPr>
        <w:t>d</w:t>
      </w:r>
      <w:r w:rsidR="00F21184" w:rsidRPr="00062C20">
        <w:rPr>
          <w:rFonts w:ascii="Times New Roman" w:hAnsi="Times New Roman" w:cs="Times New Roman"/>
          <w:sz w:val="24"/>
          <w:szCs w:val="24"/>
        </w:rPr>
        <w:t xml:space="preserve"> </w:t>
      </w:r>
      <w:r w:rsidRPr="00062C20">
        <w:rPr>
          <w:rFonts w:ascii="Times New Roman" w:hAnsi="Times New Roman" w:cs="Times New Roman"/>
          <w:sz w:val="24"/>
          <w:szCs w:val="24"/>
        </w:rPr>
        <w:t>=</w:t>
      </w:r>
      <w:r w:rsidR="00F21184" w:rsidRPr="00062C20">
        <w:rPr>
          <w:rFonts w:ascii="Times New Roman" w:hAnsi="Times New Roman" w:cs="Times New Roman"/>
          <w:sz w:val="24"/>
          <w:szCs w:val="24"/>
        </w:rPr>
        <w:t xml:space="preserve"> </w:t>
      </w:r>
      <w:r w:rsidRPr="00062C20">
        <w:rPr>
          <w:rFonts w:ascii="Times New Roman" w:hAnsi="Times New Roman" w:cs="Times New Roman"/>
          <w:sz w:val="24"/>
          <w:szCs w:val="24"/>
        </w:rPr>
        <w:t>1.11), carbon tetrachloride (CCl</w:t>
      </w:r>
      <w:r w:rsidRPr="00062C20">
        <w:rPr>
          <w:rFonts w:ascii="Times New Roman" w:hAnsi="Times New Roman" w:cs="Times New Roman"/>
          <w:sz w:val="24"/>
          <w:szCs w:val="24"/>
          <w:vertAlign w:val="subscript"/>
        </w:rPr>
        <w:t>4</w:t>
      </w:r>
      <w:r w:rsidRPr="00062C20">
        <w:rPr>
          <w:rFonts w:ascii="Times New Roman" w:hAnsi="Times New Roman" w:cs="Times New Roman"/>
          <w:sz w:val="24"/>
          <w:szCs w:val="24"/>
        </w:rPr>
        <w:t>) (</w:t>
      </w:r>
      <w:r w:rsidRPr="00062C20">
        <w:rPr>
          <w:rFonts w:ascii="Times New Roman" w:hAnsi="Times New Roman" w:cs="Times New Roman"/>
          <w:i/>
          <w:iCs/>
          <w:sz w:val="24"/>
          <w:szCs w:val="24"/>
        </w:rPr>
        <w:t>d</w:t>
      </w:r>
      <w:r w:rsidR="00F21184" w:rsidRPr="00062C20">
        <w:rPr>
          <w:rFonts w:ascii="Times New Roman" w:hAnsi="Times New Roman" w:cs="Times New Roman"/>
          <w:sz w:val="24"/>
          <w:szCs w:val="24"/>
        </w:rPr>
        <w:t xml:space="preserve"> </w:t>
      </w:r>
      <w:r w:rsidRPr="00062C20">
        <w:rPr>
          <w:rFonts w:ascii="Times New Roman" w:hAnsi="Times New Roman" w:cs="Times New Roman"/>
          <w:sz w:val="24"/>
          <w:szCs w:val="24"/>
        </w:rPr>
        <w:t>=</w:t>
      </w:r>
      <w:r w:rsidR="00F21184" w:rsidRPr="00062C20">
        <w:rPr>
          <w:rFonts w:ascii="Times New Roman" w:hAnsi="Times New Roman" w:cs="Times New Roman"/>
          <w:sz w:val="24"/>
          <w:szCs w:val="24"/>
        </w:rPr>
        <w:t xml:space="preserve"> </w:t>
      </w:r>
      <w:r w:rsidRPr="00062C20">
        <w:rPr>
          <w:rFonts w:ascii="Times New Roman" w:hAnsi="Times New Roman" w:cs="Times New Roman"/>
          <w:sz w:val="24"/>
          <w:szCs w:val="24"/>
        </w:rPr>
        <w:t>1.59), chloroform (CF) (</w:t>
      </w:r>
      <w:r w:rsidRPr="00062C20">
        <w:rPr>
          <w:rFonts w:ascii="Times New Roman" w:hAnsi="Times New Roman" w:cs="Times New Roman"/>
          <w:i/>
          <w:iCs/>
          <w:sz w:val="24"/>
          <w:szCs w:val="24"/>
        </w:rPr>
        <w:t>d</w:t>
      </w:r>
      <w:r w:rsidR="00F21184" w:rsidRPr="00062C20">
        <w:rPr>
          <w:rFonts w:ascii="Times New Roman" w:hAnsi="Times New Roman" w:cs="Times New Roman"/>
          <w:sz w:val="24"/>
          <w:szCs w:val="24"/>
        </w:rPr>
        <w:t xml:space="preserve"> </w:t>
      </w:r>
      <w:r w:rsidRPr="00062C20">
        <w:rPr>
          <w:rFonts w:ascii="Times New Roman" w:hAnsi="Times New Roman" w:cs="Times New Roman"/>
          <w:sz w:val="24"/>
          <w:szCs w:val="24"/>
        </w:rPr>
        <w:t>=</w:t>
      </w:r>
      <w:r w:rsidR="00F21184" w:rsidRPr="00062C20">
        <w:rPr>
          <w:rFonts w:ascii="Times New Roman" w:hAnsi="Times New Roman" w:cs="Times New Roman"/>
          <w:sz w:val="24"/>
          <w:szCs w:val="24"/>
        </w:rPr>
        <w:t xml:space="preserve"> </w:t>
      </w:r>
      <w:r w:rsidRPr="00062C20">
        <w:rPr>
          <w:rFonts w:ascii="Times New Roman" w:hAnsi="Times New Roman" w:cs="Times New Roman"/>
          <w:sz w:val="24"/>
          <w:szCs w:val="24"/>
        </w:rPr>
        <w:t>1.48), and dichloromethane (DCM) (</w:t>
      </w:r>
      <w:r w:rsidRPr="00062C20">
        <w:rPr>
          <w:rFonts w:ascii="Times New Roman" w:hAnsi="Times New Roman" w:cs="Times New Roman"/>
          <w:i/>
          <w:iCs/>
          <w:sz w:val="24"/>
          <w:szCs w:val="24"/>
        </w:rPr>
        <w:t>d</w:t>
      </w:r>
      <w:r w:rsidR="00F21184" w:rsidRPr="00062C20">
        <w:rPr>
          <w:rFonts w:ascii="Times New Roman" w:hAnsi="Times New Roman" w:cs="Times New Roman"/>
          <w:i/>
          <w:iCs/>
          <w:sz w:val="24"/>
          <w:szCs w:val="24"/>
        </w:rPr>
        <w:t xml:space="preserve"> </w:t>
      </w:r>
      <w:r w:rsidRPr="00062C20">
        <w:rPr>
          <w:rFonts w:ascii="Times New Roman" w:hAnsi="Times New Roman" w:cs="Times New Roman"/>
          <w:sz w:val="24"/>
          <w:szCs w:val="24"/>
        </w:rPr>
        <w:t>=</w:t>
      </w:r>
      <w:r w:rsidR="00F21184" w:rsidRPr="00062C20">
        <w:rPr>
          <w:rFonts w:ascii="Times New Roman" w:hAnsi="Times New Roman" w:cs="Times New Roman"/>
          <w:sz w:val="24"/>
          <w:szCs w:val="24"/>
        </w:rPr>
        <w:t xml:space="preserve"> </w:t>
      </w:r>
      <w:r w:rsidRPr="00062C20">
        <w:rPr>
          <w:rFonts w:ascii="Times New Roman" w:hAnsi="Times New Roman" w:cs="Times New Roman"/>
          <w:sz w:val="24"/>
          <w:szCs w:val="24"/>
        </w:rPr>
        <w:t xml:space="preserve">1.32) were </w:t>
      </w:r>
      <w:r w:rsidR="001F26F9" w:rsidRPr="00062C20">
        <w:rPr>
          <w:rFonts w:ascii="Times New Roman" w:hAnsi="Times New Roman" w:cs="Times New Roman"/>
          <w:sz w:val="24"/>
          <w:szCs w:val="24"/>
        </w:rPr>
        <w:t xml:space="preserve">taken. </w:t>
      </w:r>
      <w:r w:rsidR="008C5B57" w:rsidRPr="00062C20">
        <w:rPr>
          <w:rFonts w:ascii="Times New Roman" w:hAnsi="Times New Roman" w:cs="Times New Roman"/>
          <w:sz w:val="24"/>
          <w:szCs w:val="24"/>
        </w:rPr>
        <w:t xml:space="preserve">To select the most suitable </w:t>
      </w:r>
      <w:r w:rsidR="001F26F9" w:rsidRPr="00062C20">
        <w:rPr>
          <w:rFonts w:ascii="Times New Roman" w:hAnsi="Times New Roman" w:cs="Times New Roman"/>
          <w:sz w:val="24"/>
          <w:szCs w:val="24"/>
        </w:rPr>
        <w:t>extraction solvent</w:t>
      </w:r>
      <w:r w:rsidR="008C5B57" w:rsidRPr="00062C20">
        <w:rPr>
          <w:rFonts w:ascii="Times New Roman" w:hAnsi="Times New Roman" w:cs="Times New Roman"/>
          <w:sz w:val="24"/>
          <w:szCs w:val="24"/>
        </w:rPr>
        <w:t>,</w:t>
      </w:r>
      <w:r w:rsidR="001F26F9" w:rsidRPr="00062C20">
        <w:rPr>
          <w:rFonts w:ascii="Times New Roman" w:hAnsi="Times New Roman" w:cs="Times New Roman"/>
          <w:sz w:val="24"/>
          <w:szCs w:val="24"/>
        </w:rPr>
        <w:t xml:space="preserve"> a se</w:t>
      </w:r>
      <w:r w:rsidR="008C5B57" w:rsidRPr="00062C20">
        <w:rPr>
          <w:rFonts w:ascii="Times New Roman" w:hAnsi="Times New Roman" w:cs="Times New Roman"/>
          <w:sz w:val="24"/>
          <w:szCs w:val="24"/>
        </w:rPr>
        <w:t>ries</w:t>
      </w:r>
      <w:r w:rsidR="001F26F9" w:rsidRPr="00062C20">
        <w:rPr>
          <w:rFonts w:ascii="Times New Roman" w:hAnsi="Times New Roman" w:cs="Times New Roman"/>
          <w:sz w:val="24"/>
          <w:szCs w:val="24"/>
        </w:rPr>
        <w:t xml:space="preserve"> of experiments </w:t>
      </w:r>
      <w:r w:rsidR="008C5B57" w:rsidRPr="00062C20">
        <w:rPr>
          <w:rFonts w:ascii="Times New Roman" w:hAnsi="Times New Roman" w:cs="Times New Roman"/>
          <w:sz w:val="24"/>
          <w:szCs w:val="24"/>
        </w:rPr>
        <w:t>was</w:t>
      </w:r>
      <w:r w:rsidR="001F26F9" w:rsidRPr="00062C20">
        <w:rPr>
          <w:rFonts w:ascii="Times New Roman" w:hAnsi="Times New Roman" w:cs="Times New Roman"/>
          <w:sz w:val="24"/>
          <w:szCs w:val="24"/>
        </w:rPr>
        <w:t xml:space="preserve"> performed, where 100 µL of each extraction solvent and </w:t>
      </w:r>
      <w:r w:rsidR="008C5B57" w:rsidRPr="00062C20">
        <w:rPr>
          <w:rFonts w:ascii="Times New Roman" w:hAnsi="Times New Roman" w:cs="Times New Roman"/>
          <w:sz w:val="24"/>
          <w:szCs w:val="24"/>
        </w:rPr>
        <w:t xml:space="preserve">a </w:t>
      </w:r>
      <w:r w:rsidR="001F26F9" w:rsidRPr="00062C20">
        <w:rPr>
          <w:rFonts w:ascii="Times New Roman" w:hAnsi="Times New Roman" w:cs="Times New Roman"/>
          <w:sz w:val="24"/>
          <w:szCs w:val="24"/>
        </w:rPr>
        <w:t>fixed volume (500 µL) of disperser</w:t>
      </w:r>
      <w:r w:rsidR="00BF39DF" w:rsidRPr="00062C20">
        <w:rPr>
          <w:rFonts w:ascii="Times New Roman" w:hAnsi="Times New Roman" w:cs="Times New Roman"/>
          <w:sz w:val="24"/>
          <w:szCs w:val="24"/>
        </w:rPr>
        <w:t xml:space="preserve"> </w:t>
      </w:r>
      <w:r w:rsidR="001F26F9" w:rsidRPr="00062C20">
        <w:rPr>
          <w:rFonts w:ascii="Times New Roman" w:hAnsi="Times New Roman" w:cs="Times New Roman"/>
          <w:sz w:val="24"/>
          <w:szCs w:val="24"/>
        </w:rPr>
        <w:t xml:space="preserve">solvent ethanol (EtOH) were mixed. </w:t>
      </w:r>
      <w:r w:rsidR="00443550" w:rsidRPr="00062C20">
        <w:rPr>
          <w:rFonts w:ascii="Times New Roman" w:hAnsi="Times New Roman" w:cs="Times New Roman"/>
          <w:sz w:val="24"/>
          <w:szCs w:val="24"/>
        </w:rPr>
        <w:t>These mixtures</w:t>
      </w:r>
      <w:r w:rsidR="001F26F9" w:rsidRPr="00062C20">
        <w:rPr>
          <w:rFonts w:ascii="Times New Roman" w:hAnsi="Times New Roman" w:cs="Times New Roman"/>
          <w:sz w:val="24"/>
          <w:szCs w:val="24"/>
        </w:rPr>
        <w:t xml:space="preserve"> were rapidly injected into the aqueous solution spiked with 15 µL of R</w:t>
      </w:r>
      <w:r w:rsidR="005D26F4" w:rsidRPr="00062C20">
        <w:rPr>
          <w:rFonts w:ascii="Times New Roman" w:hAnsi="Times New Roman" w:cs="Times New Roman"/>
          <w:sz w:val="24"/>
          <w:szCs w:val="24"/>
        </w:rPr>
        <w:t>SP</w:t>
      </w:r>
      <w:r w:rsidR="001F26F9" w:rsidRPr="00062C20">
        <w:rPr>
          <w:rFonts w:ascii="Times New Roman" w:hAnsi="Times New Roman" w:cs="Times New Roman"/>
          <w:sz w:val="24"/>
          <w:szCs w:val="24"/>
        </w:rPr>
        <w:t xml:space="preserve"> stock solution</w:t>
      </w:r>
      <w:r w:rsidR="00142270" w:rsidRPr="00062C20">
        <w:rPr>
          <w:rFonts w:ascii="Times New Roman" w:hAnsi="Times New Roman" w:cs="Times New Roman"/>
          <w:sz w:val="24"/>
          <w:szCs w:val="24"/>
        </w:rPr>
        <w:t xml:space="preserve"> with neutral pH</w:t>
      </w:r>
      <w:r w:rsidR="008C5B57" w:rsidRPr="00062C20">
        <w:rPr>
          <w:rFonts w:ascii="Times New Roman" w:hAnsi="Times New Roman" w:cs="Times New Roman"/>
          <w:sz w:val="24"/>
          <w:szCs w:val="24"/>
        </w:rPr>
        <w:t>,</w:t>
      </w:r>
      <w:r w:rsidR="001F26F9" w:rsidRPr="00062C20">
        <w:rPr>
          <w:rFonts w:ascii="Times New Roman" w:hAnsi="Times New Roman" w:cs="Times New Roman"/>
          <w:sz w:val="24"/>
          <w:szCs w:val="24"/>
        </w:rPr>
        <w:t xml:space="preserve"> </w:t>
      </w:r>
      <w:r w:rsidR="00443550" w:rsidRPr="00062C20">
        <w:rPr>
          <w:rFonts w:ascii="Times New Roman" w:hAnsi="Times New Roman" w:cs="Times New Roman"/>
          <w:sz w:val="24"/>
          <w:szCs w:val="24"/>
        </w:rPr>
        <w:t>forming</w:t>
      </w:r>
      <w:r w:rsidR="001F26F9" w:rsidRPr="00062C20">
        <w:rPr>
          <w:rFonts w:ascii="Times New Roman" w:hAnsi="Times New Roman" w:cs="Times New Roman"/>
          <w:sz w:val="24"/>
          <w:szCs w:val="24"/>
        </w:rPr>
        <w:t xml:space="preserve"> a cloudy solution. </w:t>
      </w:r>
      <w:r w:rsidR="00F21184" w:rsidRPr="00062C20">
        <w:rPr>
          <w:rFonts w:ascii="Times New Roman" w:hAnsi="Times New Roman" w:cs="Times New Roman"/>
          <w:sz w:val="24"/>
          <w:szCs w:val="24"/>
        </w:rPr>
        <w:t xml:space="preserve">The entire UA-DLLME-TLC image analysis was performed </w:t>
      </w:r>
      <w:r w:rsidR="008C5B57" w:rsidRPr="00062C20">
        <w:rPr>
          <w:rFonts w:ascii="Times New Roman" w:hAnsi="Times New Roman" w:cs="Times New Roman"/>
          <w:sz w:val="24"/>
          <w:szCs w:val="24"/>
        </w:rPr>
        <w:t xml:space="preserve">in </w:t>
      </w:r>
      <w:r w:rsidR="00443550" w:rsidRPr="00062C20">
        <w:rPr>
          <w:rFonts w:ascii="Times New Roman" w:hAnsi="Times New Roman" w:cs="Times New Roman"/>
          <w:sz w:val="24"/>
          <w:szCs w:val="24"/>
        </w:rPr>
        <w:t xml:space="preserve">the </w:t>
      </w:r>
      <w:r w:rsidR="00F21184" w:rsidRPr="00062C20">
        <w:rPr>
          <w:rFonts w:ascii="Times New Roman" w:hAnsi="Times New Roman" w:cs="Times New Roman"/>
          <w:sz w:val="24"/>
          <w:szCs w:val="24"/>
        </w:rPr>
        <w:t xml:space="preserve">same </w:t>
      </w:r>
      <w:r w:rsidR="008C5B57" w:rsidRPr="00062C20">
        <w:rPr>
          <w:rFonts w:ascii="Times New Roman" w:hAnsi="Times New Roman" w:cs="Times New Roman"/>
          <w:sz w:val="24"/>
          <w:szCs w:val="24"/>
        </w:rPr>
        <w:t xml:space="preserve">manner </w:t>
      </w:r>
      <w:r w:rsidR="00F21184" w:rsidRPr="00062C20">
        <w:rPr>
          <w:rFonts w:ascii="Times New Roman" w:hAnsi="Times New Roman" w:cs="Times New Roman"/>
          <w:sz w:val="24"/>
          <w:szCs w:val="24"/>
        </w:rPr>
        <w:t xml:space="preserve">as above. Figure </w:t>
      </w:r>
      <w:r w:rsidR="002E3BB0">
        <w:rPr>
          <w:rFonts w:ascii="Times New Roman" w:hAnsi="Times New Roman" w:cs="Times New Roman"/>
          <w:sz w:val="24"/>
          <w:szCs w:val="24"/>
        </w:rPr>
        <w:t>9</w:t>
      </w:r>
      <w:r w:rsidR="00322FBD">
        <w:rPr>
          <w:rFonts w:ascii="Times New Roman" w:hAnsi="Times New Roman" w:cs="Times New Roman"/>
          <w:sz w:val="24"/>
          <w:szCs w:val="24"/>
        </w:rPr>
        <w:t>a</w:t>
      </w:r>
      <w:r w:rsidR="00F21184" w:rsidRPr="00062C20">
        <w:rPr>
          <w:rFonts w:ascii="Times New Roman" w:hAnsi="Times New Roman" w:cs="Times New Roman"/>
          <w:sz w:val="24"/>
          <w:szCs w:val="24"/>
        </w:rPr>
        <w:t xml:space="preserve"> shows that</w:t>
      </w:r>
      <w:r w:rsidR="008D0715">
        <w:rPr>
          <w:rFonts w:ascii="Times New Roman" w:hAnsi="Times New Roman" w:cs="Times New Roman"/>
          <w:sz w:val="24"/>
          <w:szCs w:val="24"/>
        </w:rPr>
        <w:t xml:space="preserve"> trichloroethylene (TCE)</w:t>
      </w:r>
      <w:r w:rsidR="00F21184" w:rsidRPr="00062C20">
        <w:rPr>
          <w:rFonts w:ascii="Times New Roman" w:hAnsi="Times New Roman" w:cs="Times New Roman"/>
          <w:sz w:val="24"/>
          <w:szCs w:val="24"/>
        </w:rPr>
        <w:t xml:space="preserve"> displayed the highest extraction efficiency for RSP.</w:t>
      </w:r>
      <w:r w:rsidR="002B4E28" w:rsidRPr="00062C20">
        <w:rPr>
          <w:rFonts w:ascii="Times New Roman" w:hAnsi="Times New Roman" w:cs="Times New Roman"/>
          <w:sz w:val="24"/>
          <w:szCs w:val="24"/>
        </w:rPr>
        <w:t xml:space="preserve"> </w:t>
      </w:r>
      <w:r w:rsidR="00443550" w:rsidRPr="00062C20">
        <w:rPr>
          <w:rFonts w:ascii="Times New Roman" w:hAnsi="Times New Roman" w:cs="Times New Roman"/>
          <w:sz w:val="24"/>
          <w:szCs w:val="24"/>
        </w:rPr>
        <w:t>Similarly</w:t>
      </w:r>
      <w:r w:rsidR="008B3C23" w:rsidRPr="00062C20">
        <w:rPr>
          <w:rFonts w:ascii="Times New Roman" w:hAnsi="Times New Roman" w:cs="Times New Roman"/>
          <w:sz w:val="24"/>
          <w:szCs w:val="24"/>
        </w:rPr>
        <w:t xml:space="preserve">, to determine the better volume of </w:t>
      </w:r>
      <w:r w:rsidR="008D0715">
        <w:rPr>
          <w:rFonts w:ascii="Times New Roman" w:hAnsi="Times New Roman" w:cs="Times New Roman"/>
          <w:sz w:val="24"/>
          <w:szCs w:val="24"/>
        </w:rPr>
        <w:t>TCE</w:t>
      </w:r>
      <w:r w:rsidR="008B3C23" w:rsidRPr="00062C20">
        <w:rPr>
          <w:rFonts w:ascii="Times New Roman" w:hAnsi="Times New Roman" w:cs="Times New Roman"/>
          <w:sz w:val="24"/>
          <w:szCs w:val="24"/>
        </w:rPr>
        <w:t xml:space="preserve"> for the higher extraction yield, different volumes </w:t>
      </w:r>
      <w:r w:rsidR="008D0715">
        <w:rPr>
          <w:rFonts w:ascii="Times New Roman" w:hAnsi="Times New Roman" w:cs="Times New Roman"/>
          <w:sz w:val="24"/>
          <w:szCs w:val="24"/>
        </w:rPr>
        <w:t xml:space="preserve">75-125 </w:t>
      </w:r>
      <w:r w:rsidR="008D0715" w:rsidRPr="00062C20">
        <w:rPr>
          <w:rFonts w:ascii="Times New Roman" w:hAnsi="Times New Roman" w:cs="Times New Roman"/>
          <w:sz w:val="24"/>
          <w:szCs w:val="24"/>
        </w:rPr>
        <w:t>µL</w:t>
      </w:r>
      <w:r w:rsidR="008B3C23" w:rsidRPr="00062C20">
        <w:rPr>
          <w:rFonts w:ascii="Times New Roman" w:hAnsi="Times New Roman" w:cs="Times New Roman"/>
          <w:sz w:val="24"/>
          <w:szCs w:val="24"/>
        </w:rPr>
        <w:t xml:space="preserve"> of </w:t>
      </w:r>
      <w:r w:rsidR="008D0715">
        <w:rPr>
          <w:rFonts w:ascii="Times New Roman" w:hAnsi="Times New Roman" w:cs="Times New Roman"/>
          <w:sz w:val="24"/>
          <w:szCs w:val="24"/>
        </w:rPr>
        <w:t xml:space="preserve">TCE </w:t>
      </w:r>
      <w:r w:rsidR="00443550" w:rsidRPr="00062C20">
        <w:rPr>
          <w:rFonts w:ascii="Times New Roman" w:hAnsi="Times New Roman" w:cs="Times New Roman"/>
          <w:sz w:val="24"/>
          <w:szCs w:val="24"/>
        </w:rPr>
        <w:t>were</w:t>
      </w:r>
      <w:r w:rsidR="008B3C23" w:rsidRPr="00062C20">
        <w:rPr>
          <w:rFonts w:ascii="Times New Roman" w:hAnsi="Times New Roman" w:cs="Times New Roman"/>
          <w:sz w:val="24"/>
          <w:szCs w:val="24"/>
        </w:rPr>
        <w:t xml:space="preserve"> added with </w:t>
      </w:r>
      <w:r w:rsidR="008C5B57" w:rsidRPr="00062C20">
        <w:rPr>
          <w:rFonts w:ascii="Times New Roman" w:hAnsi="Times New Roman" w:cs="Times New Roman"/>
          <w:sz w:val="24"/>
          <w:szCs w:val="24"/>
        </w:rPr>
        <w:t xml:space="preserve">a </w:t>
      </w:r>
      <w:r w:rsidR="008B3C23" w:rsidRPr="00062C20">
        <w:rPr>
          <w:rFonts w:ascii="Times New Roman" w:hAnsi="Times New Roman" w:cs="Times New Roman"/>
          <w:sz w:val="24"/>
          <w:szCs w:val="24"/>
        </w:rPr>
        <w:t>fixed volume (500 µL) of EtOH. This mixture was used to perform the UA-DLLME-TLC image analysis, where</w:t>
      </w:r>
      <w:r w:rsidR="008D0715">
        <w:rPr>
          <w:rFonts w:ascii="Times New Roman" w:hAnsi="Times New Roman" w:cs="Times New Roman"/>
          <w:sz w:val="24"/>
          <w:szCs w:val="24"/>
        </w:rPr>
        <w:t xml:space="preserve"> TCE</w:t>
      </w:r>
      <w:r w:rsidR="008B3C23" w:rsidRPr="00062C20">
        <w:rPr>
          <w:rFonts w:ascii="Times New Roman" w:hAnsi="Times New Roman" w:cs="Times New Roman"/>
          <w:sz w:val="24"/>
          <w:szCs w:val="24"/>
        </w:rPr>
        <w:t xml:space="preserve"> at </w:t>
      </w:r>
      <w:r w:rsidR="009F0D38" w:rsidRPr="00062C20">
        <w:rPr>
          <w:rFonts w:ascii="Times New Roman" w:hAnsi="Times New Roman" w:cs="Times New Roman"/>
          <w:sz w:val="24"/>
          <w:szCs w:val="24"/>
        </w:rPr>
        <w:t xml:space="preserve">the </w:t>
      </w:r>
      <w:r w:rsidR="008B3C23" w:rsidRPr="00062C20">
        <w:rPr>
          <w:rFonts w:ascii="Times New Roman" w:hAnsi="Times New Roman" w:cs="Times New Roman"/>
          <w:sz w:val="24"/>
          <w:szCs w:val="24"/>
        </w:rPr>
        <w:t xml:space="preserve">volume of </w:t>
      </w:r>
      <w:r w:rsidR="008D0715">
        <w:rPr>
          <w:rFonts w:ascii="Times New Roman" w:hAnsi="Times New Roman" w:cs="Times New Roman"/>
          <w:sz w:val="24"/>
          <w:szCs w:val="24"/>
        </w:rPr>
        <w:t xml:space="preserve">100 </w:t>
      </w:r>
      <w:r w:rsidR="008D0715" w:rsidRPr="00062C20">
        <w:rPr>
          <w:rFonts w:ascii="Times New Roman" w:hAnsi="Times New Roman" w:cs="Times New Roman"/>
          <w:sz w:val="24"/>
          <w:szCs w:val="24"/>
        </w:rPr>
        <w:t>µL</w:t>
      </w:r>
      <w:r w:rsidR="008B3C23" w:rsidRPr="00062C20">
        <w:rPr>
          <w:rFonts w:ascii="Times New Roman" w:hAnsi="Times New Roman" w:cs="Times New Roman"/>
          <w:sz w:val="24"/>
          <w:szCs w:val="24"/>
        </w:rPr>
        <w:t xml:space="preserve"> gave </w:t>
      </w:r>
      <w:r w:rsidR="009F0D38" w:rsidRPr="00062C20">
        <w:rPr>
          <w:rFonts w:ascii="Times New Roman" w:hAnsi="Times New Roman" w:cs="Times New Roman"/>
          <w:sz w:val="24"/>
          <w:szCs w:val="24"/>
        </w:rPr>
        <w:t xml:space="preserve">the </w:t>
      </w:r>
      <w:r w:rsidR="008B3C23" w:rsidRPr="00062C20">
        <w:rPr>
          <w:rFonts w:ascii="Times New Roman" w:hAnsi="Times New Roman" w:cs="Times New Roman"/>
          <w:sz w:val="24"/>
          <w:szCs w:val="24"/>
        </w:rPr>
        <w:t>best results (fig</w:t>
      </w:r>
      <w:r w:rsidR="00322FBD">
        <w:rPr>
          <w:rFonts w:ascii="Times New Roman" w:hAnsi="Times New Roman" w:cs="Times New Roman"/>
          <w:sz w:val="24"/>
          <w:szCs w:val="24"/>
        </w:rPr>
        <w:t xml:space="preserve"> </w:t>
      </w:r>
      <w:r w:rsidR="002E3BB0">
        <w:rPr>
          <w:rFonts w:ascii="Times New Roman" w:hAnsi="Times New Roman" w:cs="Times New Roman"/>
          <w:sz w:val="24"/>
          <w:szCs w:val="24"/>
        </w:rPr>
        <w:t>9</w:t>
      </w:r>
      <w:r w:rsidR="00322FBD">
        <w:rPr>
          <w:rFonts w:ascii="Times New Roman" w:hAnsi="Times New Roman" w:cs="Times New Roman"/>
          <w:sz w:val="24"/>
          <w:szCs w:val="24"/>
        </w:rPr>
        <w:t>b</w:t>
      </w:r>
      <w:r w:rsidR="008B3C23" w:rsidRPr="00062C20">
        <w:rPr>
          <w:rFonts w:ascii="Times New Roman" w:hAnsi="Times New Roman" w:cs="Times New Roman"/>
          <w:sz w:val="24"/>
          <w:szCs w:val="24"/>
        </w:rPr>
        <w:t xml:space="preserve">). </w:t>
      </w:r>
    </w:p>
    <w:p w14:paraId="069250C6" w14:textId="77777777" w:rsidR="0005075E" w:rsidRPr="00062C20" w:rsidRDefault="0005075E" w:rsidP="003834D1">
      <w:pPr>
        <w:spacing w:after="0" w:line="360" w:lineRule="auto"/>
        <w:ind w:left="426"/>
        <w:jc w:val="both"/>
        <w:rPr>
          <w:rFonts w:ascii="Times New Roman" w:hAnsi="Times New Roman" w:cs="Times New Roman"/>
          <w:sz w:val="24"/>
          <w:szCs w:val="24"/>
        </w:rPr>
      </w:pPr>
    </w:p>
    <w:p w14:paraId="0E79B82A" w14:textId="030F654E" w:rsidR="002B4E28" w:rsidRDefault="008B3C23" w:rsidP="003834D1">
      <w:pPr>
        <w:spacing w:after="0" w:line="360" w:lineRule="auto"/>
        <w:ind w:left="426"/>
        <w:jc w:val="both"/>
        <w:rPr>
          <w:rFonts w:ascii="Times New Roman" w:hAnsi="Times New Roman" w:cs="Times New Roman"/>
          <w:sz w:val="24"/>
          <w:szCs w:val="24"/>
        </w:rPr>
      </w:pPr>
      <w:r w:rsidRPr="00062C20">
        <w:rPr>
          <w:rFonts w:ascii="Times New Roman" w:hAnsi="Times New Roman" w:cs="Times New Roman"/>
          <w:sz w:val="24"/>
          <w:szCs w:val="24"/>
          <w:lang w:val="en-IN"/>
        </w:rPr>
        <w:t xml:space="preserve">Once the extraction solvent and its volume </w:t>
      </w:r>
      <w:r w:rsidR="009F0D38" w:rsidRPr="00062C20">
        <w:rPr>
          <w:rFonts w:ascii="Times New Roman" w:hAnsi="Times New Roman" w:cs="Times New Roman"/>
          <w:sz w:val="24"/>
          <w:szCs w:val="24"/>
          <w:lang w:val="en-IN"/>
        </w:rPr>
        <w:t>were</w:t>
      </w:r>
      <w:r w:rsidRPr="00062C20">
        <w:rPr>
          <w:rFonts w:ascii="Times New Roman" w:hAnsi="Times New Roman" w:cs="Times New Roman"/>
          <w:sz w:val="24"/>
          <w:szCs w:val="24"/>
          <w:lang w:val="en-IN"/>
        </w:rPr>
        <w:t xml:space="preserve"> determined, </w:t>
      </w:r>
      <w:r w:rsidR="008C5B57" w:rsidRPr="00062C20">
        <w:rPr>
          <w:rFonts w:ascii="Times New Roman" w:hAnsi="Times New Roman" w:cs="Times New Roman"/>
          <w:sz w:val="24"/>
          <w:szCs w:val="24"/>
          <w:lang w:val="en-IN"/>
        </w:rPr>
        <w:t xml:space="preserve">the </w:t>
      </w:r>
      <w:r w:rsidRPr="00062C20">
        <w:rPr>
          <w:rFonts w:ascii="Times New Roman" w:hAnsi="Times New Roman" w:cs="Times New Roman"/>
          <w:sz w:val="24"/>
          <w:szCs w:val="24"/>
          <w:lang w:val="en-IN"/>
        </w:rPr>
        <w:t xml:space="preserve">next </w:t>
      </w:r>
      <w:r w:rsidR="008C5B57" w:rsidRPr="00062C20">
        <w:rPr>
          <w:rFonts w:ascii="Times New Roman" w:hAnsi="Times New Roman" w:cs="Times New Roman"/>
          <w:sz w:val="24"/>
          <w:szCs w:val="24"/>
          <w:lang w:val="en-IN"/>
        </w:rPr>
        <w:t xml:space="preserve">step </w:t>
      </w:r>
      <w:r w:rsidRPr="00062C20">
        <w:rPr>
          <w:rFonts w:ascii="Times New Roman" w:hAnsi="Times New Roman" w:cs="Times New Roman"/>
          <w:sz w:val="24"/>
          <w:szCs w:val="24"/>
          <w:lang w:val="en-IN"/>
        </w:rPr>
        <w:t xml:space="preserve">was </w:t>
      </w:r>
      <w:r w:rsidR="008C5B57" w:rsidRPr="00062C20">
        <w:rPr>
          <w:rFonts w:ascii="Times New Roman" w:hAnsi="Times New Roman" w:cs="Times New Roman"/>
          <w:sz w:val="24"/>
          <w:szCs w:val="24"/>
          <w:lang w:val="en-IN"/>
        </w:rPr>
        <w:t xml:space="preserve">to </w:t>
      </w:r>
      <w:r w:rsidRPr="00062C20">
        <w:rPr>
          <w:rFonts w:ascii="Times New Roman" w:hAnsi="Times New Roman" w:cs="Times New Roman"/>
          <w:sz w:val="24"/>
          <w:szCs w:val="24"/>
          <w:lang w:val="en-IN"/>
        </w:rPr>
        <w:t xml:space="preserve">optimize the disperser solvent and its volume. </w:t>
      </w:r>
      <w:r w:rsidR="00056A38" w:rsidRPr="00062C20">
        <w:rPr>
          <w:rFonts w:ascii="Times New Roman" w:hAnsi="Times New Roman" w:cs="Times New Roman"/>
          <w:sz w:val="24"/>
          <w:szCs w:val="24"/>
          <w:lang w:val="en-IN"/>
        </w:rPr>
        <w:t xml:space="preserve">Here, </w:t>
      </w:r>
      <w:proofErr w:type="spellStart"/>
      <w:r w:rsidR="009F0D38" w:rsidRPr="00062C20">
        <w:rPr>
          <w:rFonts w:ascii="Times New Roman" w:hAnsi="Times New Roman" w:cs="Times New Roman"/>
          <w:sz w:val="24"/>
          <w:szCs w:val="24"/>
          <w:lang w:val="en-IN"/>
        </w:rPr>
        <w:t>favorable</w:t>
      </w:r>
      <w:proofErr w:type="spellEnd"/>
      <w:r w:rsidR="00056A38" w:rsidRPr="00062C20">
        <w:rPr>
          <w:rFonts w:ascii="Times New Roman" w:hAnsi="Times New Roman" w:cs="Times New Roman"/>
          <w:sz w:val="24"/>
          <w:szCs w:val="24"/>
          <w:lang w:val="en-IN"/>
        </w:rPr>
        <w:t xml:space="preserve"> results could be achieved with the solvent being more </w:t>
      </w:r>
      <w:r w:rsidR="008C5B57" w:rsidRPr="00062C20">
        <w:rPr>
          <w:rFonts w:ascii="Times New Roman" w:hAnsi="Times New Roman" w:cs="Times New Roman"/>
          <w:sz w:val="24"/>
          <w:szCs w:val="24"/>
          <w:lang w:val="en-IN"/>
        </w:rPr>
        <w:t>dispersible</w:t>
      </w:r>
      <w:r w:rsidR="00056A38" w:rsidRPr="00062C20">
        <w:rPr>
          <w:rFonts w:ascii="Times New Roman" w:hAnsi="Times New Roman" w:cs="Times New Roman"/>
          <w:sz w:val="24"/>
          <w:szCs w:val="24"/>
          <w:lang w:val="en-IN"/>
        </w:rPr>
        <w:t xml:space="preserve"> in </w:t>
      </w:r>
      <w:r w:rsidR="009F0D38" w:rsidRPr="00062C20">
        <w:rPr>
          <w:rFonts w:ascii="Times New Roman" w:hAnsi="Times New Roman" w:cs="Times New Roman"/>
          <w:sz w:val="24"/>
          <w:szCs w:val="24"/>
          <w:lang w:val="en-IN"/>
        </w:rPr>
        <w:t xml:space="preserve">an </w:t>
      </w:r>
      <w:r w:rsidR="00056A38" w:rsidRPr="00062C20">
        <w:rPr>
          <w:rFonts w:ascii="Times New Roman" w:hAnsi="Times New Roman" w:cs="Times New Roman"/>
          <w:sz w:val="24"/>
          <w:szCs w:val="24"/>
          <w:lang w:val="en-IN"/>
        </w:rPr>
        <w:t>aqueous medium</w:t>
      </w:r>
      <w:r w:rsidR="008C5B57" w:rsidRPr="00062C20">
        <w:rPr>
          <w:rFonts w:ascii="Times New Roman" w:hAnsi="Times New Roman" w:cs="Times New Roman"/>
          <w:sz w:val="24"/>
          <w:szCs w:val="24"/>
          <w:lang w:val="en-IN"/>
        </w:rPr>
        <w:t>,</w:t>
      </w:r>
      <w:r w:rsidR="00056A38" w:rsidRPr="00062C20">
        <w:rPr>
          <w:rFonts w:ascii="Times New Roman" w:hAnsi="Times New Roman" w:cs="Times New Roman"/>
          <w:sz w:val="24"/>
          <w:szCs w:val="24"/>
          <w:lang w:val="en-IN"/>
        </w:rPr>
        <w:t xml:space="preserve"> increasing the surface area for the analyte to be extracted. The four </w:t>
      </w:r>
      <w:proofErr w:type="spellStart"/>
      <w:r w:rsidR="009F0D38" w:rsidRPr="00062C20">
        <w:rPr>
          <w:rFonts w:ascii="Times New Roman" w:hAnsi="Times New Roman" w:cs="Times New Roman"/>
          <w:sz w:val="24"/>
          <w:szCs w:val="24"/>
          <w:lang w:val="en-IN"/>
        </w:rPr>
        <w:t>favorable</w:t>
      </w:r>
      <w:proofErr w:type="spellEnd"/>
      <w:r w:rsidR="00056A38" w:rsidRPr="00062C20">
        <w:rPr>
          <w:rFonts w:ascii="Times New Roman" w:hAnsi="Times New Roman" w:cs="Times New Roman"/>
          <w:sz w:val="24"/>
          <w:szCs w:val="24"/>
          <w:lang w:val="en-IN"/>
        </w:rPr>
        <w:t xml:space="preserve"> disperser solvents for RSP were methanol (MeOH), ethanol (EtOH), acetonitrile (ACN), and acetone (ACT)</w:t>
      </w:r>
      <w:r w:rsidR="008C5B57" w:rsidRPr="00062C20">
        <w:rPr>
          <w:rFonts w:ascii="Times New Roman" w:hAnsi="Times New Roman" w:cs="Times New Roman"/>
          <w:sz w:val="24"/>
          <w:szCs w:val="24"/>
          <w:lang w:val="en-IN"/>
        </w:rPr>
        <w:t>,</w:t>
      </w:r>
      <w:r w:rsidR="00056A38" w:rsidRPr="00062C20">
        <w:rPr>
          <w:rFonts w:ascii="Times New Roman" w:hAnsi="Times New Roman" w:cs="Times New Roman"/>
          <w:sz w:val="24"/>
          <w:szCs w:val="24"/>
          <w:lang w:val="en-IN"/>
        </w:rPr>
        <w:t xml:space="preserve"> </w:t>
      </w:r>
      <w:r w:rsidR="009F0D38" w:rsidRPr="00062C20">
        <w:rPr>
          <w:rFonts w:ascii="Times New Roman" w:hAnsi="Times New Roman" w:cs="Times New Roman"/>
          <w:sz w:val="24"/>
          <w:szCs w:val="24"/>
          <w:lang w:val="en-IN"/>
        </w:rPr>
        <w:t>which</w:t>
      </w:r>
      <w:r w:rsidR="00056A38" w:rsidRPr="00062C20">
        <w:rPr>
          <w:rFonts w:ascii="Times New Roman" w:hAnsi="Times New Roman" w:cs="Times New Roman"/>
          <w:sz w:val="24"/>
          <w:szCs w:val="24"/>
          <w:lang w:val="en-IN"/>
        </w:rPr>
        <w:t xml:space="preserve"> were selected. </w:t>
      </w:r>
      <w:r w:rsidR="00BF39DF" w:rsidRPr="00062C20">
        <w:rPr>
          <w:rFonts w:ascii="Times New Roman" w:hAnsi="Times New Roman" w:cs="Times New Roman"/>
          <w:sz w:val="24"/>
          <w:szCs w:val="24"/>
          <w:lang w:val="en-IN"/>
        </w:rPr>
        <w:t>Optimized extraction solvent (</w:t>
      </w:r>
      <w:r w:rsidR="008D0715">
        <w:rPr>
          <w:rFonts w:ascii="Times New Roman" w:hAnsi="Times New Roman" w:cs="Times New Roman"/>
          <w:sz w:val="24"/>
          <w:szCs w:val="24"/>
          <w:lang w:val="en-IN"/>
        </w:rPr>
        <w:t>TCE</w:t>
      </w:r>
      <w:r w:rsidR="00BF39DF" w:rsidRPr="00062C20">
        <w:rPr>
          <w:rFonts w:ascii="Times New Roman" w:hAnsi="Times New Roman" w:cs="Times New Roman"/>
          <w:sz w:val="24"/>
          <w:szCs w:val="24"/>
          <w:lang w:val="en-IN"/>
        </w:rPr>
        <w:t>) and its volume (</w:t>
      </w:r>
      <w:r w:rsidR="008D0715">
        <w:rPr>
          <w:rFonts w:ascii="Times New Roman" w:hAnsi="Times New Roman" w:cs="Times New Roman"/>
          <w:sz w:val="24"/>
          <w:szCs w:val="24"/>
          <w:lang w:val="en-IN"/>
        </w:rPr>
        <w:t xml:space="preserve">100 </w:t>
      </w:r>
      <w:r w:rsidR="008D0715" w:rsidRPr="00062C20">
        <w:rPr>
          <w:rFonts w:ascii="Times New Roman" w:hAnsi="Times New Roman" w:cs="Times New Roman"/>
          <w:sz w:val="24"/>
          <w:szCs w:val="24"/>
        </w:rPr>
        <w:t>µL</w:t>
      </w:r>
      <w:r w:rsidR="00BF39DF" w:rsidRPr="00062C20">
        <w:rPr>
          <w:rFonts w:ascii="Times New Roman" w:hAnsi="Times New Roman" w:cs="Times New Roman"/>
          <w:sz w:val="24"/>
          <w:szCs w:val="24"/>
          <w:lang w:val="en-IN"/>
        </w:rPr>
        <w:t xml:space="preserve">) </w:t>
      </w:r>
      <w:r w:rsidR="009F0D38" w:rsidRPr="00062C20">
        <w:rPr>
          <w:rFonts w:ascii="Times New Roman" w:hAnsi="Times New Roman" w:cs="Times New Roman"/>
          <w:sz w:val="24"/>
          <w:szCs w:val="24"/>
          <w:lang w:val="en-IN"/>
        </w:rPr>
        <w:t>were</w:t>
      </w:r>
      <w:r w:rsidR="00BF39DF" w:rsidRPr="00062C20">
        <w:rPr>
          <w:rFonts w:ascii="Times New Roman" w:hAnsi="Times New Roman" w:cs="Times New Roman"/>
          <w:sz w:val="24"/>
          <w:szCs w:val="24"/>
          <w:lang w:val="en-IN"/>
        </w:rPr>
        <w:t xml:space="preserve"> added to 500 </w:t>
      </w:r>
      <w:r w:rsidR="00BF39DF" w:rsidRPr="00062C20">
        <w:rPr>
          <w:rFonts w:ascii="Times New Roman" w:hAnsi="Times New Roman" w:cs="Times New Roman"/>
          <w:sz w:val="24"/>
          <w:szCs w:val="24"/>
        </w:rPr>
        <w:t xml:space="preserve">µL of </w:t>
      </w:r>
      <w:r w:rsidR="00142270" w:rsidRPr="00062C20">
        <w:rPr>
          <w:rFonts w:ascii="Times New Roman" w:hAnsi="Times New Roman" w:cs="Times New Roman"/>
          <w:sz w:val="24"/>
          <w:szCs w:val="24"/>
        </w:rPr>
        <w:t>all four disperser solvents</w:t>
      </w:r>
      <w:r w:rsidR="008C5B57" w:rsidRPr="00062C20">
        <w:rPr>
          <w:rFonts w:ascii="Times New Roman" w:hAnsi="Times New Roman" w:cs="Times New Roman"/>
          <w:sz w:val="24"/>
          <w:szCs w:val="24"/>
        </w:rPr>
        <w:t>,</w:t>
      </w:r>
      <w:r w:rsidR="00142270" w:rsidRPr="00062C20">
        <w:rPr>
          <w:rFonts w:ascii="Times New Roman" w:hAnsi="Times New Roman" w:cs="Times New Roman"/>
          <w:sz w:val="24"/>
          <w:szCs w:val="24"/>
        </w:rPr>
        <w:t xml:space="preserve"> and UA-DLLME-TLC image analysis was performed. Figure </w:t>
      </w:r>
      <w:r w:rsidR="00322FBD">
        <w:rPr>
          <w:rFonts w:ascii="Times New Roman" w:hAnsi="Times New Roman" w:cs="Times New Roman"/>
          <w:sz w:val="24"/>
          <w:szCs w:val="24"/>
        </w:rPr>
        <w:t>1</w:t>
      </w:r>
      <w:r w:rsidR="002E3BB0">
        <w:rPr>
          <w:rFonts w:ascii="Times New Roman" w:hAnsi="Times New Roman" w:cs="Times New Roman"/>
          <w:sz w:val="24"/>
          <w:szCs w:val="24"/>
        </w:rPr>
        <w:t>0</w:t>
      </w:r>
      <w:r w:rsidR="00322FBD">
        <w:rPr>
          <w:rFonts w:ascii="Times New Roman" w:hAnsi="Times New Roman" w:cs="Times New Roman"/>
          <w:sz w:val="24"/>
          <w:szCs w:val="24"/>
        </w:rPr>
        <w:t>a</w:t>
      </w:r>
      <w:r w:rsidR="00142270" w:rsidRPr="00062C20">
        <w:rPr>
          <w:rFonts w:ascii="Times New Roman" w:hAnsi="Times New Roman" w:cs="Times New Roman"/>
          <w:sz w:val="24"/>
          <w:szCs w:val="24"/>
        </w:rPr>
        <w:t xml:space="preserve"> shows that </w:t>
      </w:r>
      <w:r w:rsidR="008D0715">
        <w:rPr>
          <w:rFonts w:ascii="Times New Roman" w:hAnsi="Times New Roman" w:cs="Times New Roman"/>
          <w:sz w:val="24"/>
          <w:szCs w:val="24"/>
        </w:rPr>
        <w:t>acetonitrile (ACN)</w:t>
      </w:r>
      <w:r w:rsidR="00142270" w:rsidRPr="00062C20">
        <w:rPr>
          <w:rFonts w:ascii="Times New Roman" w:hAnsi="Times New Roman" w:cs="Times New Roman"/>
          <w:sz w:val="24"/>
          <w:szCs w:val="24"/>
        </w:rPr>
        <w:t xml:space="preserve"> showed better extraction of RSP. Then, to determine the different </w:t>
      </w:r>
      <w:r w:rsidR="00A3052F" w:rsidRPr="00062C20">
        <w:rPr>
          <w:rFonts w:ascii="Times New Roman" w:hAnsi="Times New Roman" w:cs="Times New Roman"/>
          <w:sz w:val="24"/>
          <w:szCs w:val="24"/>
        </w:rPr>
        <w:t>volumes</w:t>
      </w:r>
      <w:r w:rsidR="00142270" w:rsidRPr="00062C20">
        <w:rPr>
          <w:rFonts w:ascii="Times New Roman" w:hAnsi="Times New Roman" w:cs="Times New Roman"/>
          <w:sz w:val="24"/>
          <w:szCs w:val="24"/>
        </w:rPr>
        <w:t xml:space="preserve"> of </w:t>
      </w:r>
      <w:r w:rsidR="008D0715">
        <w:rPr>
          <w:rFonts w:ascii="Times New Roman" w:hAnsi="Times New Roman" w:cs="Times New Roman"/>
          <w:sz w:val="24"/>
          <w:szCs w:val="24"/>
        </w:rPr>
        <w:t xml:space="preserve">ACN, </w:t>
      </w:r>
      <w:r w:rsidR="00142270" w:rsidRPr="00062C20">
        <w:rPr>
          <w:rFonts w:ascii="Times New Roman" w:hAnsi="Times New Roman" w:cs="Times New Roman"/>
          <w:sz w:val="24"/>
          <w:szCs w:val="24"/>
        </w:rPr>
        <w:t>ranging between 200</w:t>
      </w:r>
      <w:r w:rsidR="008D0715">
        <w:rPr>
          <w:rFonts w:ascii="Times New Roman" w:hAnsi="Times New Roman" w:cs="Times New Roman"/>
          <w:sz w:val="24"/>
          <w:szCs w:val="24"/>
        </w:rPr>
        <w:t>-</w:t>
      </w:r>
      <w:r w:rsidR="00142270" w:rsidRPr="00062C20">
        <w:rPr>
          <w:rFonts w:ascii="Times New Roman" w:hAnsi="Times New Roman" w:cs="Times New Roman"/>
          <w:sz w:val="24"/>
          <w:szCs w:val="24"/>
        </w:rPr>
        <w:t>1</w:t>
      </w:r>
      <w:r w:rsidR="008D0715">
        <w:rPr>
          <w:rFonts w:ascii="Times New Roman" w:hAnsi="Times New Roman" w:cs="Times New Roman"/>
          <w:sz w:val="24"/>
          <w:szCs w:val="24"/>
        </w:rPr>
        <w:t>0</w:t>
      </w:r>
      <w:r w:rsidR="00142270" w:rsidRPr="00062C20">
        <w:rPr>
          <w:rFonts w:ascii="Times New Roman" w:hAnsi="Times New Roman" w:cs="Times New Roman"/>
          <w:sz w:val="24"/>
          <w:szCs w:val="24"/>
        </w:rPr>
        <w:t>00 µL of disperser solvent w</w:t>
      </w:r>
      <w:r w:rsidR="008D0715">
        <w:rPr>
          <w:rFonts w:ascii="Times New Roman" w:hAnsi="Times New Roman" w:cs="Times New Roman"/>
          <w:sz w:val="24"/>
          <w:szCs w:val="24"/>
        </w:rPr>
        <w:t>as</w:t>
      </w:r>
      <w:r w:rsidR="00142270" w:rsidRPr="00062C20">
        <w:rPr>
          <w:rFonts w:ascii="Times New Roman" w:hAnsi="Times New Roman" w:cs="Times New Roman"/>
          <w:sz w:val="24"/>
          <w:szCs w:val="24"/>
        </w:rPr>
        <w:t xml:space="preserve"> added with </w:t>
      </w:r>
      <w:r w:rsidR="008D0715">
        <w:rPr>
          <w:rFonts w:ascii="Times New Roman" w:hAnsi="Times New Roman" w:cs="Times New Roman"/>
          <w:sz w:val="24"/>
          <w:szCs w:val="24"/>
        </w:rPr>
        <w:t xml:space="preserve">an </w:t>
      </w:r>
      <w:r w:rsidR="00142270" w:rsidRPr="00062C20">
        <w:rPr>
          <w:rFonts w:ascii="Times New Roman" w:hAnsi="Times New Roman" w:cs="Times New Roman"/>
          <w:sz w:val="24"/>
          <w:szCs w:val="24"/>
        </w:rPr>
        <w:t xml:space="preserve">optimized volume </w:t>
      </w:r>
      <w:r w:rsidR="002C7F07">
        <w:rPr>
          <w:rFonts w:ascii="Times New Roman" w:hAnsi="Times New Roman" w:cs="Times New Roman"/>
          <w:sz w:val="24"/>
          <w:szCs w:val="24"/>
        </w:rPr>
        <w:t xml:space="preserve">of </w:t>
      </w:r>
      <w:r w:rsidR="008D0715">
        <w:rPr>
          <w:rFonts w:ascii="Times New Roman" w:hAnsi="Times New Roman" w:cs="Times New Roman"/>
          <w:sz w:val="24"/>
          <w:szCs w:val="24"/>
        </w:rPr>
        <w:t xml:space="preserve">100 </w:t>
      </w:r>
      <w:r w:rsidR="008D0715" w:rsidRPr="00062C20">
        <w:rPr>
          <w:rFonts w:ascii="Times New Roman" w:hAnsi="Times New Roman" w:cs="Times New Roman"/>
          <w:sz w:val="24"/>
          <w:szCs w:val="24"/>
        </w:rPr>
        <w:t>µL</w:t>
      </w:r>
      <w:r w:rsidR="00142270" w:rsidRPr="00062C20">
        <w:rPr>
          <w:rFonts w:ascii="Times New Roman" w:hAnsi="Times New Roman" w:cs="Times New Roman"/>
          <w:sz w:val="24"/>
          <w:szCs w:val="24"/>
        </w:rPr>
        <w:t xml:space="preserve"> of extraction solvent. </w:t>
      </w:r>
      <w:r w:rsidR="00142270" w:rsidRPr="00062C20">
        <w:rPr>
          <w:rFonts w:ascii="Times New Roman" w:hAnsi="Times New Roman" w:cs="Times New Roman"/>
          <w:sz w:val="24"/>
          <w:szCs w:val="24"/>
        </w:rPr>
        <w:lastRenderedPageBreak/>
        <w:t>Keeping the pH neutral</w:t>
      </w:r>
      <w:r w:rsidR="008C5B57" w:rsidRPr="00062C20">
        <w:rPr>
          <w:rFonts w:ascii="Times New Roman" w:hAnsi="Times New Roman" w:cs="Times New Roman"/>
          <w:sz w:val="24"/>
          <w:szCs w:val="24"/>
        </w:rPr>
        <w:t>,</w:t>
      </w:r>
      <w:r w:rsidR="00142270" w:rsidRPr="00062C20">
        <w:rPr>
          <w:rFonts w:ascii="Times New Roman" w:hAnsi="Times New Roman" w:cs="Times New Roman"/>
          <w:sz w:val="24"/>
          <w:szCs w:val="24"/>
        </w:rPr>
        <w:t xml:space="preserve"> the process of UA-DLLME-TLC image analysis was performed</w:t>
      </w:r>
      <w:r w:rsidR="008C5B57" w:rsidRPr="00062C20">
        <w:rPr>
          <w:rFonts w:ascii="Times New Roman" w:hAnsi="Times New Roman" w:cs="Times New Roman"/>
          <w:sz w:val="24"/>
          <w:szCs w:val="24"/>
        </w:rPr>
        <w:t>,</w:t>
      </w:r>
      <w:r w:rsidR="00142270" w:rsidRPr="00062C20">
        <w:rPr>
          <w:rFonts w:ascii="Times New Roman" w:hAnsi="Times New Roman" w:cs="Times New Roman"/>
          <w:sz w:val="24"/>
          <w:szCs w:val="24"/>
        </w:rPr>
        <w:t xml:space="preserve"> which displayed </w:t>
      </w:r>
      <w:r w:rsidR="002C7F07">
        <w:rPr>
          <w:rFonts w:ascii="Times New Roman" w:hAnsi="Times New Roman" w:cs="Times New Roman"/>
          <w:sz w:val="24"/>
          <w:szCs w:val="24"/>
        </w:rPr>
        <w:t xml:space="preserve">that </w:t>
      </w:r>
      <w:r w:rsidR="00142270" w:rsidRPr="00062C20">
        <w:rPr>
          <w:rFonts w:ascii="Times New Roman" w:hAnsi="Times New Roman" w:cs="Times New Roman"/>
          <w:sz w:val="24"/>
          <w:szCs w:val="24"/>
        </w:rPr>
        <w:t>the</w:t>
      </w:r>
      <w:r w:rsidR="002C7F07">
        <w:rPr>
          <w:rFonts w:ascii="Times New Roman" w:hAnsi="Times New Roman" w:cs="Times New Roman"/>
          <w:sz w:val="24"/>
          <w:szCs w:val="24"/>
        </w:rPr>
        <w:t xml:space="preserve"> ACN</w:t>
      </w:r>
      <w:r w:rsidR="00142270" w:rsidRPr="00062C20">
        <w:rPr>
          <w:rFonts w:ascii="Times New Roman" w:hAnsi="Times New Roman" w:cs="Times New Roman"/>
          <w:sz w:val="24"/>
          <w:szCs w:val="24"/>
        </w:rPr>
        <w:t xml:space="preserve"> at</w:t>
      </w:r>
      <w:r w:rsidR="002C7F07">
        <w:rPr>
          <w:rFonts w:ascii="Times New Roman" w:hAnsi="Times New Roman" w:cs="Times New Roman"/>
          <w:sz w:val="24"/>
          <w:szCs w:val="24"/>
        </w:rPr>
        <w:t xml:space="preserve"> 800</w:t>
      </w:r>
      <w:r w:rsidR="002C7F07" w:rsidRPr="00062C20">
        <w:rPr>
          <w:rFonts w:ascii="Times New Roman" w:hAnsi="Times New Roman" w:cs="Times New Roman"/>
          <w:sz w:val="24"/>
          <w:szCs w:val="24"/>
        </w:rPr>
        <w:t xml:space="preserve"> µL</w:t>
      </w:r>
      <w:r w:rsidR="00142270" w:rsidRPr="00062C20">
        <w:rPr>
          <w:rFonts w:ascii="Times New Roman" w:hAnsi="Times New Roman" w:cs="Times New Roman"/>
          <w:sz w:val="24"/>
          <w:szCs w:val="24"/>
        </w:rPr>
        <w:t xml:space="preserve"> volume gave the best results of </w:t>
      </w:r>
      <w:r w:rsidR="005F5B55" w:rsidRPr="00062C20">
        <w:rPr>
          <w:rFonts w:ascii="Times New Roman" w:hAnsi="Times New Roman" w:cs="Times New Roman"/>
          <w:sz w:val="24"/>
          <w:szCs w:val="24"/>
        </w:rPr>
        <w:t>e</w:t>
      </w:r>
      <w:r w:rsidR="00142270" w:rsidRPr="00062C20">
        <w:rPr>
          <w:rFonts w:ascii="Times New Roman" w:hAnsi="Times New Roman" w:cs="Times New Roman"/>
          <w:sz w:val="24"/>
          <w:szCs w:val="24"/>
        </w:rPr>
        <w:t>xtraction for RSP (fig</w:t>
      </w:r>
      <w:r w:rsidR="00322FBD">
        <w:rPr>
          <w:rFonts w:ascii="Times New Roman" w:hAnsi="Times New Roman" w:cs="Times New Roman"/>
          <w:sz w:val="24"/>
          <w:szCs w:val="24"/>
        </w:rPr>
        <w:t xml:space="preserve"> 1</w:t>
      </w:r>
      <w:r w:rsidR="002E3BB0">
        <w:rPr>
          <w:rFonts w:ascii="Times New Roman" w:hAnsi="Times New Roman" w:cs="Times New Roman"/>
          <w:sz w:val="24"/>
          <w:szCs w:val="24"/>
        </w:rPr>
        <w:t>0</w:t>
      </w:r>
      <w:r w:rsidR="00322FBD">
        <w:rPr>
          <w:rFonts w:ascii="Times New Roman" w:hAnsi="Times New Roman" w:cs="Times New Roman"/>
          <w:sz w:val="24"/>
          <w:szCs w:val="24"/>
        </w:rPr>
        <w:t>b</w:t>
      </w:r>
      <w:r w:rsidR="00142270" w:rsidRPr="00062C20">
        <w:rPr>
          <w:rFonts w:ascii="Times New Roman" w:hAnsi="Times New Roman" w:cs="Times New Roman"/>
          <w:sz w:val="24"/>
          <w:szCs w:val="24"/>
        </w:rPr>
        <w:t>).</w:t>
      </w:r>
      <w:r w:rsidR="005F5B55" w:rsidRPr="00062C20">
        <w:rPr>
          <w:rFonts w:ascii="Times New Roman" w:hAnsi="Times New Roman" w:cs="Times New Roman"/>
          <w:sz w:val="24"/>
          <w:szCs w:val="24"/>
        </w:rPr>
        <w:t xml:space="preserve"> </w:t>
      </w:r>
    </w:p>
    <w:p w14:paraId="21385E35" w14:textId="77777777" w:rsidR="0005075E" w:rsidRPr="00062C20" w:rsidRDefault="0005075E" w:rsidP="003834D1">
      <w:pPr>
        <w:spacing w:after="0" w:line="360" w:lineRule="auto"/>
        <w:ind w:left="426"/>
        <w:jc w:val="both"/>
        <w:rPr>
          <w:rFonts w:ascii="Times New Roman" w:hAnsi="Times New Roman" w:cs="Times New Roman"/>
          <w:sz w:val="24"/>
          <w:szCs w:val="24"/>
        </w:rPr>
      </w:pPr>
    </w:p>
    <w:p w14:paraId="726B536C" w14:textId="2E50848B" w:rsidR="005F5B55" w:rsidRDefault="00A3052F" w:rsidP="003834D1">
      <w:pPr>
        <w:spacing w:after="0" w:line="360" w:lineRule="auto"/>
        <w:ind w:left="426"/>
        <w:jc w:val="both"/>
        <w:rPr>
          <w:rFonts w:ascii="Times New Roman" w:hAnsi="Times New Roman" w:cs="Times New Roman"/>
          <w:sz w:val="24"/>
          <w:szCs w:val="24"/>
        </w:rPr>
      </w:pPr>
      <w:r w:rsidRPr="00062C20">
        <w:rPr>
          <w:rFonts w:ascii="Times New Roman" w:hAnsi="Times New Roman" w:cs="Times New Roman"/>
          <w:sz w:val="24"/>
          <w:szCs w:val="24"/>
        </w:rPr>
        <w:t xml:space="preserve">An organic solvent must be in molecular form for better extraction, which can be determined by its </w:t>
      </w:r>
      <w:proofErr w:type="spellStart"/>
      <w:r w:rsidRPr="00062C20">
        <w:rPr>
          <w:rFonts w:ascii="Times New Roman" w:hAnsi="Times New Roman" w:cs="Times New Roman"/>
          <w:sz w:val="24"/>
          <w:szCs w:val="24"/>
        </w:rPr>
        <w:t>pKa</w:t>
      </w:r>
      <w:proofErr w:type="spellEnd"/>
      <w:r w:rsidRPr="00062C20">
        <w:rPr>
          <w:rFonts w:ascii="Times New Roman" w:hAnsi="Times New Roman" w:cs="Times New Roman"/>
          <w:sz w:val="24"/>
          <w:szCs w:val="24"/>
        </w:rPr>
        <w:t xml:space="preserve"> value. Therefore, according to the Henderson-Hasselbalch equation, acidic drugs can be fully ionized (99%) two units above their </w:t>
      </w:r>
      <w:proofErr w:type="spellStart"/>
      <w:r w:rsidRPr="00062C20">
        <w:rPr>
          <w:rFonts w:ascii="Times New Roman" w:hAnsi="Times New Roman" w:cs="Times New Roman"/>
          <w:sz w:val="24"/>
          <w:szCs w:val="24"/>
        </w:rPr>
        <w:t>pKa</w:t>
      </w:r>
      <w:proofErr w:type="spellEnd"/>
      <w:r w:rsidRPr="00062C20">
        <w:rPr>
          <w:rFonts w:ascii="Times New Roman" w:hAnsi="Times New Roman" w:cs="Times New Roman"/>
          <w:sz w:val="24"/>
          <w:szCs w:val="24"/>
        </w:rPr>
        <w:t xml:space="preserve"> value or have no ionization (1%) two units below their</w:t>
      </w:r>
      <w:r w:rsidR="00CD148C" w:rsidRPr="00062C20">
        <w:rPr>
          <w:rFonts w:ascii="Times New Roman" w:hAnsi="Times New Roman" w:cs="Times New Roman"/>
          <w:sz w:val="24"/>
          <w:szCs w:val="24"/>
        </w:rPr>
        <w:t xml:space="preserve"> </w:t>
      </w:r>
      <w:proofErr w:type="spellStart"/>
      <w:r w:rsidR="00CD148C" w:rsidRPr="00062C20">
        <w:rPr>
          <w:rFonts w:ascii="Times New Roman" w:hAnsi="Times New Roman" w:cs="Times New Roman"/>
          <w:sz w:val="24"/>
          <w:szCs w:val="24"/>
        </w:rPr>
        <w:t>pK</w:t>
      </w:r>
      <w:r w:rsidR="00CD148C" w:rsidRPr="00062C20">
        <w:rPr>
          <w:rFonts w:ascii="Times New Roman" w:hAnsi="Times New Roman" w:cs="Times New Roman"/>
          <w:sz w:val="24"/>
          <w:szCs w:val="24"/>
          <w:vertAlign w:val="subscript"/>
        </w:rPr>
        <w:t>a</w:t>
      </w:r>
      <w:proofErr w:type="spellEnd"/>
      <w:r w:rsidR="00CD148C" w:rsidRPr="00062C20">
        <w:rPr>
          <w:rFonts w:ascii="Times New Roman" w:hAnsi="Times New Roman" w:cs="Times New Roman"/>
          <w:sz w:val="24"/>
          <w:szCs w:val="24"/>
          <w:vertAlign w:val="subscript"/>
        </w:rPr>
        <w:t xml:space="preserve"> </w:t>
      </w:r>
      <w:r w:rsidR="00CD148C" w:rsidRPr="00062C20">
        <w:rPr>
          <w:rFonts w:ascii="Times New Roman" w:hAnsi="Times New Roman" w:cs="Times New Roman"/>
          <w:sz w:val="24"/>
          <w:szCs w:val="24"/>
        </w:rPr>
        <w:t xml:space="preserve">value. Since the </w:t>
      </w:r>
      <w:proofErr w:type="spellStart"/>
      <w:r w:rsidR="00CD148C" w:rsidRPr="00062C20">
        <w:rPr>
          <w:rFonts w:ascii="Times New Roman" w:hAnsi="Times New Roman" w:cs="Times New Roman"/>
          <w:sz w:val="24"/>
          <w:szCs w:val="24"/>
        </w:rPr>
        <w:t>pK</w:t>
      </w:r>
      <w:r w:rsidR="00CD148C" w:rsidRPr="00062C20">
        <w:rPr>
          <w:rFonts w:ascii="Times New Roman" w:hAnsi="Times New Roman" w:cs="Times New Roman"/>
          <w:sz w:val="24"/>
          <w:szCs w:val="24"/>
          <w:vertAlign w:val="subscript"/>
        </w:rPr>
        <w:t>a</w:t>
      </w:r>
      <w:proofErr w:type="spellEnd"/>
      <w:r w:rsidR="00CD148C" w:rsidRPr="00062C20">
        <w:rPr>
          <w:rFonts w:ascii="Times New Roman" w:hAnsi="Times New Roman" w:cs="Times New Roman"/>
          <w:sz w:val="24"/>
          <w:szCs w:val="24"/>
          <w:vertAlign w:val="subscript"/>
        </w:rPr>
        <w:t xml:space="preserve"> </w:t>
      </w:r>
      <w:r w:rsidR="00CD148C" w:rsidRPr="00062C20">
        <w:rPr>
          <w:rFonts w:ascii="Times New Roman" w:hAnsi="Times New Roman" w:cs="Times New Roman"/>
          <w:sz w:val="24"/>
          <w:szCs w:val="24"/>
        </w:rPr>
        <w:t xml:space="preserve">value for RSP is </w:t>
      </w:r>
      <w:r w:rsidR="002C7F07">
        <w:rPr>
          <w:rFonts w:ascii="Times New Roman" w:hAnsi="Times New Roman" w:cs="Times New Roman"/>
          <w:sz w:val="24"/>
          <w:szCs w:val="24"/>
        </w:rPr>
        <w:t>8.3</w:t>
      </w:r>
      <w:r w:rsidR="00CD148C" w:rsidRPr="00062C20">
        <w:rPr>
          <w:rFonts w:ascii="Times New Roman" w:hAnsi="Times New Roman" w:cs="Times New Roman"/>
          <w:sz w:val="24"/>
          <w:szCs w:val="24"/>
        </w:rPr>
        <w:t xml:space="preserve">, the pH </w:t>
      </w:r>
      <w:r w:rsidRPr="00062C20">
        <w:rPr>
          <w:rFonts w:ascii="Times New Roman" w:hAnsi="Times New Roman" w:cs="Times New Roman"/>
          <w:sz w:val="24"/>
          <w:szCs w:val="24"/>
        </w:rPr>
        <w:t>was</w:t>
      </w:r>
      <w:r w:rsidR="00CD148C" w:rsidRPr="00062C20">
        <w:rPr>
          <w:rFonts w:ascii="Times New Roman" w:hAnsi="Times New Roman" w:cs="Times New Roman"/>
          <w:sz w:val="24"/>
          <w:szCs w:val="24"/>
        </w:rPr>
        <w:t xml:space="preserve"> optimized between </w:t>
      </w:r>
      <w:r w:rsidRPr="00062C20">
        <w:rPr>
          <w:rFonts w:ascii="Times New Roman" w:hAnsi="Times New Roman" w:cs="Times New Roman"/>
          <w:sz w:val="24"/>
          <w:szCs w:val="24"/>
        </w:rPr>
        <w:t>pH</w:t>
      </w:r>
      <w:r w:rsidR="002C7F07">
        <w:rPr>
          <w:rFonts w:ascii="Times New Roman" w:hAnsi="Times New Roman" w:cs="Times New Roman"/>
          <w:sz w:val="24"/>
          <w:szCs w:val="24"/>
        </w:rPr>
        <w:t xml:space="preserve"> 7</w:t>
      </w:r>
      <w:r w:rsidRPr="00062C20">
        <w:rPr>
          <w:rFonts w:ascii="Times New Roman" w:hAnsi="Times New Roman" w:cs="Times New Roman"/>
          <w:sz w:val="24"/>
          <w:szCs w:val="24"/>
        </w:rPr>
        <w:t xml:space="preserve"> </w:t>
      </w:r>
      <w:r w:rsidR="00417973">
        <w:rPr>
          <w:rFonts w:ascii="Times New Roman" w:hAnsi="Times New Roman" w:cs="Times New Roman"/>
          <w:sz w:val="24"/>
          <w:szCs w:val="24"/>
        </w:rPr>
        <w:t>and pH 11</w:t>
      </w:r>
      <w:r w:rsidR="00CD148C" w:rsidRPr="00062C20">
        <w:rPr>
          <w:rFonts w:ascii="Times New Roman" w:hAnsi="Times New Roman" w:cs="Times New Roman"/>
          <w:sz w:val="24"/>
          <w:szCs w:val="24"/>
        </w:rPr>
        <w:t xml:space="preserve">. </w:t>
      </w:r>
      <w:r w:rsidRPr="00062C20">
        <w:rPr>
          <w:rFonts w:ascii="Times New Roman" w:hAnsi="Times New Roman" w:cs="Times New Roman"/>
          <w:sz w:val="24"/>
          <w:szCs w:val="24"/>
        </w:rPr>
        <w:t>0.1 M solution of hydrochloric acid/ sodium hydroxide was freshly prepared and used to maintain the respective pH of the sample solutions</w:t>
      </w:r>
      <w:r w:rsidR="00443550" w:rsidRPr="00062C20">
        <w:rPr>
          <w:rFonts w:ascii="Times New Roman" w:hAnsi="Times New Roman" w:cs="Times New Roman"/>
          <w:sz w:val="24"/>
          <w:szCs w:val="24"/>
        </w:rPr>
        <w:t>, keeping the optimized parameters intact</w:t>
      </w:r>
      <w:r w:rsidRPr="00062C20">
        <w:rPr>
          <w:rFonts w:ascii="Times New Roman" w:hAnsi="Times New Roman" w:cs="Times New Roman"/>
          <w:sz w:val="24"/>
          <w:szCs w:val="24"/>
        </w:rPr>
        <w:t>. Once the pH was maintained</w:t>
      </w:r>
      <w:r w:rsidR="008C5B57" w:rsidRPr="00062C20">
        <w:rPr>
          <w:rFonts w:ascii="Times New Roman" w:hAnsi="Times New Roman" w:cs="Times New Roman"/>
          <w:sz w:val="24"/>
          <w:szCs w:val="24"/>
        </w:rPr>
        <w:t>,</w:t>
      </w:r>
      <w:r w:rsidRPr="00062C20">
        <w:rPr>
          <w:rFonts w:ascii="Times New Roman" w:hAnsi="Times New Roman" w:cs="Times New Roman"/>
          <w:sz w:val="24"/>
          <w:szCs w:val="24"/>
        </w:rPr>
        <w:t xml:space="preserve"> the sample solutions underwent the process of UA-DLLME-TLC image analysis. Figure </w:t>
      </w:r>
      <w:r w:rsidR="00322FBD">
        <w:rPr>
          <w:rFonts w:ascii="Times New Roman" w:hAnsi="Times New Roman" w:cs="Times New Roman"/>
          <w:sz w:val="24"/>
          <w:szCs w:val="24"/>
        </w:rPr>
        <w:t>1</w:t>
      </w:r>
      <w:r w:rsidR="002E3BB0">
        <w:rPr>
          <w:rFonts w:ascii="Times New Roman" w:hAnsi="Times New Roman" w:cs="Times New Roman"/>
          <w:sz w:val="24"/>
          <w:szCs w:val="24"/>
        </w:rPr>
        <w:t>1</w:t>
      </w:r>
      <w:r w:rsidR="00322FBD">
        <w:rPr>
          <w:rFonts w:ascii="Times New Roman" w:hAnsi="Times New Roman" w:cs="Times New Roman"/>
          <w:sz w:val="24"/>
          <w:szCs w:val="24"/>
        </w:rPr>
        <w:t>a</w:t>
      </w:r>
      <w:r w:rsidRPr="00062C20">
        <w:rPr>
          <w:rFonts w:ascii="Times New Roman" w:hAnsi="Times New Roman" w:cs="Times New Roman"/>
          <w:sz w:val="24"/>
          <w:szCs w:val="24"/>
        </w:rPr>
        <w:t xml:space="preserve"> shows </w:t>
      </w:r>
      <w:r w:rsidR="008C5B57" w:rsidRPr="00062C20">
        <w:rPr>
          <w:rFonts w:ascii="Times New Roman" w:hAnsi="Times New Roman" w:cs="Times New Roman"/>
          <w:sz w:val="24"/>
          <w:szCs w:val="24"/>
        </w:rPr>
        <w:t xml:space="preserve">that </w:t>
      </w:r>
      <w:r w:rsidRPr="00062C20">
        <w:rPr>
          <w:rFonts w:ascii="Times New Roman" w:hAnsi="Times New Roman" w:cs="Times New Roman"/>
          <w:sz w:val="24"/>
          <w:szCs w:val="24"/>
        </w:rPr>
        <w:t xml:space="preserve">the highest extraction efficiency </w:t>
      </w:r>
      <w:r w:rsidR="008C5B57" w:rsidRPr="00062C20">
        <w:rPr>
          <w:rFonts w:ascii="Times New Roman" w:hAnsi="Times New Roman" w:cs="Times New Roman"/>
          <w:sz w:val="24"/>
          <w:szCs w:val="24"/>
        </w:rPr>
        <w:t>was obtained</w:t>
      </w:r>
      <w:r w:rsidRPr="00062C20">
        <w:rPr>
          <w:rFonts w:ascii="Times New Roman" w:hAnsi="Times New Roman" w:cs="Times New Roman"/>
          <w:sz w:val="24"/>
          <w:szCs w:val="24"/>
        </w:rPr>
        <w:t xml:space="preserve"> when the pH was maintained at</w:t>
      </w:r>
      <w:r w:rsidR="002C7F07">
        <w:rPr>
          <w:rFonts w:ascii="Times New Roman" w:hAnsi="Times New Roman" w:cs="Times New Roman"/>
          <w:sz w:val="24"/>
          <w:szCs w:val="24"/>
        </w:rPr>
        <w:t xml:space="preserve"> pH 10</w:t>
      </w:r>
      <w:r w:rsidRPr="00062C20">
        <w:rPr>
          <w:rFonts w:ascii="Times New Roman" w:hAnsi="Times New Roman" w:cs="Times New Roman"/>
          <w:sz w:val="24"/>
          <w:szCs w:val="24"/>
        </w:rPr>
        <w:t>.</w:t>
      </w:r>
    </w:p>
    <w:p w14:paraId="574092C0" w14:textId="77777777" w:rsidR="0005075E" w:rsidRPr="00062C20" w:rsidRDefault="0005075E" w:rsidP="003834D1">
      <w:pPr>
        <w:spacing w:after="0" w:line="360" w:lineRule="auto"/>
        <w:ind w:left="426"/>
        <w:jc w:val="both"/>
        <w:rPr>
          <w:rFonts w:ascii="Times New Roman" w:hAnsi="Times New Roman" w:cs="Times New Roman"/>
          <w:sz w:val="24"/>
          <w:szCs w:val="24"/>
        </w:rPr>
      </w:pPr>
    </w:p>
    <w:p w14:paraId="1C263F38" w14:textId="4056DB19" w:rsidR="00443550" w:rsidRDefault="00443550" w:rsidP="003834D1">
      <w:pPr>
        <w:spacing w:after="0" w:line="360" w:lineRule="auto"/>
        <w:ind w:left="426"/>
        <w:jc w:val="both"/>
        <w:rPr>
          <w:rFonts w:ascii="Times New Roman" w:hAnsi="Times New Roman" w:cs="Times New Roman"/>
          <w:sz w:val="24"/>
          <w:szCs w:val="24"/>
        </w:rPr>
      </w:pPr>
      <w:r w:rsidRPr="00062C20">
        <w:rPr>
          <w:rFonts w:ascii="Times New Roman" w:hAnsi="Times New Roman" w:cs="Times New Roman"/>
          <w:sz w:val="24"/>
          <w:szCs w:val="24"/>
        </w:rPr>
        <w:t xml:space="preserve">The extraction efficiency of DLLME increases </w:t>
      </w:r>
      <w:r w:rsidR="008C5B57" w:rsidRPr="00062C20">
        <w:rPr>
          <w:rFonts w:ascii="Times New Roman" w:hAnsi="Times New Roman" w:cs="Times New Roman"/>
          <w:sz w:val="24"/>
          <w:szCs w:val="24"/>
        </w:rPr>
        <w:t>with</w:t>
      </w:r>
      <w:r w:rsidRPr="00062C20">
        <w:rPr>
          <w:rFonts w:ascii="Times New Roman" w:hAnsi="Times New Roman" w:cs="Times New Roman"/>
          <w:sz w:val="24"/>
          <w:szCs w:val="24"/>
        </w:rPr>
        <w:t xml:space="preserve"> the addition of salt</w:t>
      </w:r>
      <w:r w:rsidR="008C5B57" w:rsidRPr="00062C20">
        <w:rPr>
          <w:rFonts w:ascii="Times New Roman" w:hAnsi="Times New Roman" w:cs="Times New Roman"/>
          <w:sz w:val="24"/>
          <w:szCs w:val="24"/>
        </w:rPr>
        <w:t>,</w:t>
      </w:r>
      <w:r w:rsidRPr="00062C20">
        <w:rPr>
          <w:rFonts w:ascii="Times New Roman" w:hAnsi="Times New Roman" w:cs="Times New Roman"/>
          <w:sz w:val="24"/>
          <w:szCs w:val="24"/>
        </w:rPr>
        <w:t xml:space="preserve"> which inhibits the dissolution of the targeted analyte in the sample solution.</w:t>
      </w:r>
      <w:r w:rsidR="00C20681" w:rsidRPr="00062C20">
        <w:rPr>
          <w:rFonts w:ascii="Times New Roman" w:hAnsi="Times New Roman" w:cs="Times New Roman"/>
          <w:sz w:val="24"/>
          <w:szCs w:val="24"/>
        </w:rPr>
        <w:t xml:space="preserve"> Therefore, 0-10% (w/v) of sodium chloride was prepared in HPLC-grade water to study the effect of ionic strength on the sample solution. The optimized parameters were kept as is, and the UA-DLLME-TLC image analysis was performed. This depicted that the addition of salt did not possess any relevant impact on the extraction efficiency of the </w:t>
      </w:r>
      <w:r w:rsidR="00FD22B9" w:rsidRPr="00062C20">
        <w:rPr>
          <w:rFonts w:ascii="Times New Roman" w:hAnsi="Times New Roman" w:cs="Times New Roman"/>
          <w:sz w:val="24"/>
          <w:szCs w:val="24"/>
        </w:rPr>
        <w:t>RSP</w:t>
      </w:r>
      <w:r w:rsidR="00C20681" w:rsidRPr="00062C20">
        <w:rPr>
          <w:rFonts w:ascii="Times New Roman" w:hAnsi="Times New Roman" w:cs="Times New Roman"/>
          <w:sz w:val="24"/>
          <w:szCs w:val="24"/>
        </w:rPr>
        <w:t xml:space="preserve"> (fig</w:t>
      </w:r>
      <w:r w:rsidR="00322FBD">
        <w:rPr>
          <w:rFonts w:ascii="Times New Roman" w:hAnsi="Times New Roman" w:cs="Times New Roman"/>
          <w:sz w:val="24"/>
          <w:szCs w:val="24"/>
        </w:rPr>
        <w:t xml:space="preserve"> 1</w:t>
      </w:r>
      <w:r w:rsidR="002E3BB0">
        <w:rPr>
          <w:rFonts w:ascii="Times New Roman" w:hAnsi="Times New Roman" w:cs="Times New Roman"/>
          <w:sz w:val="24"/>
          <w:szCs w:val="24"/>
        </w:rPr>
        <w:t>1</w:t>
      </w:r>
      <w:r w:rsidR="00322FBD">
        <w:rPr>
          <w:rFonts w:ascii="Times New Roman" w:hAnsi="Times New Roman" w:cs="Times New Roman"/>
          <w:sz w:val="24"/>
          <w:szCs w:val="24"/>
        </w:rPr>
        <w:t>b</w:t>
      </w:r>
      <w:r w:rsidR="00C20681" w:rsidRPr="00062C20">
        <w:rPr>
          <w:rFonts w:ascii="Times New Roman" w:hAnsi="Times New Roman" w:cs="Times New Roman"/>
          <w:sz w:val="24"/>
          <w:szCs w:val="24"/>
        </w:rPr>
        <w:t>).</w:t>
      </w:r>
    </w:p>
    <w:p w14:paraId="440AE400" w14:textId="77777777" w:rsidR="0005075E" w:rsidRPr="00062C20" w:rsidRDefault="0005075E" w:rsidP="003834D1">
      <w:pPr>
        <w:spacing w:after="0" w:line="360" w:lineRule="auto"/>
        <w:ind w:left="426"/>
        <w:jc w:val="both"/>
        <w:rPr>
          <w:rFonts w:ascii="Times New Roman" w:hAnsi="Times New Roman" w:cs="Times New Roman"/>
          <w:sz w:val="24"/>
          <w:szCs w:val="24"/>
        </w:rPr>
      </w:pPr>
    </w:p>
    <w:p w14:paraId="18EA498B" w14:textId="76DB2E88" w:rsidR="00C20681" w:rsidRDefault="00C20681" w:rsidP="003834D1">
      <w:pPr>
        <w:spacing w:after="0" w:line="360" w:lineRule="auto"/>
        <w:ind w:left="426"/>
        <w:jc w:val="both"/>
        <w:rPr>
          <w:rFonts w:ascii="Times New Roman" w:hAnsi="Times New Roman" w:cs="Times New Roman"/>
          <w:sz w:val="24"/>
          <w:szCs w:val="24"/>
        </w:rPr>
      </w:pPr>
      <w:r w:rsidRPr="00062C20">
        <w:rPr>
          <w:rFonts w:ascii="Times New Roman" w:hAnsi="Times New Roman" w:cs="Times New Roman"/>
          <w:sz w:val="24"/>
          <w:szCs w:val="24"/>
        </w:rPr>
        <w:t xml:space="preserve">Lastly, the time interval </w:t>
      </w:r>
      <w:r w:rsidR="008C5B57" w:rsidRPr="00062C20">
        <w:rPr>
          <w:rFonts w:ascii="Times New Roman" w:hAnsi="Times New Roman" w:cs="Times New Roman"/>
          <w:sz w:val="24"/>
          <w:szCs w:val="24"/>
        </w:rPr>
        <w:t xml:space="preserve">for </w:t>
      </w:r>
      <w:r w:rsidRPr="00062C20">
        <w:rPr>
          <w:rFonts w:ascii="Times New Roman" w:hAnsi="Times New Roman" w:cs="Times New Roman"/>
          <w:sz w:val="24"/>
          <w:szCs w:val="24"/>
        </w:rPr>
        <w:t>the extraction mode (</w:t>
      </w:r>
      <w:proofErr w:type="spellStart"/>
      <w:r w:rsidRPr="00062C20">
        <w:rPr>
          <w:rFonts w:ascii="Times New Roman" w:hAnsi="Times New Roman" w:cs="Times New Roman"/>
          <w:sz w:val="24"/>
          <w:szCs w:val="24"/>
        </w:rPr>
        <w:t>ultrasonicator</w:t>
      </w:r>
      <w:proofErr w:type="spellEnd"/>
      <w:r w:rsidRPr="00062C20">
        <w:rPr>
          <w:rFonts w:ascii="Times New Roman" w:hAnsi="Times New Roman" w:cs="Times New Roman"/>
          <w:sz w:val="24"/>
          <w:szCs w:val="24"/>
        </w:rPr>
        <w:t>) was optimized for 1 – 5 mins. The ultrasonication was performed t</w:t>
      </w:r>
      <w:r w:rsidR="009F0D38" w:rsidRPr="00062C20">
        <w:rPr>
          <w:rFonts w:ascii="Times New Roman" w:hAnsi="Times New Roman" w:cs="Times New Roman"/>
          <w:sz w:val="24"/>
          <w:szCs w:val="24"/>
        </w:rPr>
        <w:t>o</w:t>
      </w:r>
      <w:r w:rsidRPr="00062C20">
        <w:rPr>
          <w:rFonts w:ascii="Times New Roman" w:hAnsi="Times New Roman" w:cs="Times New Roman"/>
          <w:sz w:val="24"/>
          <w:szCs w:val="24"/>
        </w:rPr>
        <w:t xml:space="preserve"> emulsif</w:t>
      </w:r>
      <w:r w:rsidR="009F0D38" w:rsidRPr="00062C20">
        <w:rPr>
          <w:rFonts w:ascii="Times New Roman" w:hAnsi="Times New Roman" w:cs="Times New Roman"/>
          <w:sz w:val="24"/>
          <w:szCs w:val="24"/>
        </w:rPr>
        <w:t>y</w:t>
      </w:r>
      <w:r w:rsidRPr="00062C20">
        <w:rPr>
          <w:rFonts w:ascii="Times New Roman" w:hAnsi="Times New Roman" w:cs="Times New Roman"/>
          <w:sz w:val="24"/>
          <w:szCs w:val="24"/>
        </w:rPr>
        <w:t xml:space="preserve"> the tiny droplets formed by the rapid encounter of </w:t>
      </w:r>
      <w:r w:rsidR="008C5B57" w:rsidRPr="00062C20">
        <w:rPr>
          <w:rFonts w:ascii="Times New Roman" w:hAnsi="Times New Roman" w:cs="Times New Roman"/>
          <w:sz w:val="24"/>
          <w:szCs w:val="24"/>
        </w:rPr>
        <w:t xml:space="preserve">the </w:t>
      </w:r>
      <w:r w:rsidRPr="00062C20">
        <w:rPr>
          <w:rFonts w:ascii="Times New Roman" w:hAnsi="Times New Roman" w:cs="Times New Roman"/>
          <w:sz w:val="24"/>
          <w:szCs w:val="24"/>
        </w:rPr>
        <w:t>extraction and disperser solvents o</w:t>
      </w:r>
      <w:r w:rsidR="009F0D38" w:rsidRPr="00062C20">
        <w:rPr>
          <w:rFonts w:ascii="Times New Roman" w:hAnsi="Times New Roman" w:cs="Times New Roman"/>
          <w:sz w:val="24"/>
          <w:szCs w:val="24"/>
        </w:rPr>
        <w:t>n</w:t>
      </w:r>
      <w:r w:rsidRPr="00062C20">
        <w:rPr>
          <w:rFonts w:ascii="Times New Roman" w:hAnsi="Times New Roman" w:cs="Times New Roman"/>
          <w:sz w:val="24"/>
          <w:szCs w:val="24"/>
        </w:rPr>
        <w:t xml:space="preserve"> the sample solution. </w:t>
      </w:r>
      <w:r w:rsidR="009F0D38" w:rsidRPr="00062C20">
        <w:rPr>
          <w:rFonts w:ascii="Times New Roman" w:hAnsi="Times New Roman" w:cs="Times New Roman"/>
          <w:sz w:val="24"/>
          <w:szCs w:val="24"/>
        </w:rPr>
        <w:t xml:space="preserve">Thus, increasing the surface area for the target analyte to be extracted. The entire process of UA-DLLME-TLC image analysis was performed </w:t>
      </w:r>
      <w:r w:rsidR="00DD4030" w:rsidRPr="00062C20">
        <w:rPr>
          <w:rFonts w:ascii="Times New Roman" w:hAnsi="Times New Roman" w:cs="Times New Roman"/>
          <w:sz w:val="24"/>
          <w:szCs w:val="24"/>
        </w:rPr>
        <w:t>using</w:t>
      </w:r>
      <w:r w:rsidR="009F0D38" w:rsidRPr="00062C20">
        <w:rPr>
          <w:rFonts w:ascii="Times New Roman" w:hAnsi="Times New Roman" w:cs="Times New Roman"/>
          <w:sz w:val="24"/>
          <w:szCs w:val="24"/>
        </w:rPr>
        <w:t xml:space="preserve"> the optimized parameters. Fig</w:t>
      </w:r>
      <w:r w:rsidR="002E3BB0">
        <w:rPr>
          <w:rFonts w:ascii="Times New Roman" w:hAnsi="Times New Roman" w:cs="Times New Roman"/>
          <w:sz w:val="24"/>
          <w:szCs w:val="24"/>
        </w:rPr>
        <w:t>ure</w:t>
      </w:r>
      <w:r w:rsidR="009F0D38" w:rsidRPr="00062C20">
        <w:rPr>
          <w:rFonts w:ascii="Times New Roman" w:hAnsi="Times New Roman" w:cs="Times New Roman"/>
          <w:sz w:val="24"/>
          <w:szCs w:val="24"/>
        </w:rPr>
        <w:t xml:space="preserve"> </w:t>
      </w:r>
      <w:r w:rsidR="00322FBD">
        <w:rPr>
          <w:rFonts w:ascii="Times New Roman" w:hAnsi="Times New Roman" w:cs="Times New Roman"/>
          <w:sz w:val="24"/>
          <w:szCs w:val="24"/>
        </w:rPr>
        <w:t>1</w:t>
      </w:r>
      <w:r w:rsidR="002E3BB0">
        <w:rPr>
          <w:rFonts w:ascii="Times New Roman" w:hAnsi="Times New Roman" w:cs="Times New Roman"/>
          <w:sz w:val="24"/>
          <w:szCs w:val="24"/>
        </w:rPr>
        <w:t>2</w:t>
      </w:r>
      <w:r w:rsidR="009F0D38" w:rsidRPr="00062C20">
        <w:rPr>
          <w:rFonts w:ascii="Times New Roman" w:hAnsi="Times New Roman" w:cs="Times New Roman"/>
          <w:sz w:val="24"/>
          <w:szCs w:val="24"/>
        </w:rPr>
        <w:t xml:space="preserve"> shows that </w:t>
      </w:r>
      <w:r w:rsidR="008C5B57" w:rsidRPr="00062C20">
        <w:rPr>
          <w:rFonts w:ascii="Times New Roman" w:hAnsi="Times New Roman" w:cs="Times New Roman"/>
          <w:sz w:val="24"/>
          <w:szCs w:val="24"/>
        </w:rPr>
        <w:t xml:space="preserve">the </w:t>
      </w:r>
      <w:r w:rsidR="009F0D38" w:rsidRPr="00062C20">
        <w:rPr>
          <w:rFonts w:ascii="Times New Roman" w:hAnsi="Times New Roman" w:cs="Times New Roman"/>
          <w:sz w:val="24"/>
          <w:szCs w:val="24"/>
        </w:rPr>
        <w:t xml:space="preserve">response of </w:t>
      </w:r>
      <w:r w:rsidR="00751ABF" w:rsidRPr="00062C20">
        <w:rPr>
          <w:rFonts w:ascii="Times New Roman" w:hAnsi="Times New Roman" w:cs="Times New Roman"/>
          <w:sz w:val="24"/>
          <w:szCs w:val="24"/>
        </w:rPr>
        <w:t>RSP</w:t>
      </w:r>
      <w:r w:rsidR="009F0D38" w:rsidRPr="00062C20">
        <w:rPr>
          <w:rFonts w:ascii="Times New Roman" w:hAnsi="Times New Roman" w:cs="Times New Roman"/>
          <w:sz w:val="24"/>
          <w:szCs w:val="24"/>
        </w:rPr>
        <w:t xml:space="preserve"> was maximum at </w:t>
      </w:r>
      <w:r w:rsidR="002C7F07">
        <w:rPr>
          <w:rFonts w:ascii="Times New Roman" w:hAnsi="Times New Roman" w:cs="Times New Roman"/>
          <w:sz w:val="24"/>
          <w:szCs w:val="24"/>
        </w:rPr>
        <w:t>1</w:t>
      </w:r>
      <w:r w:rsidR="009F0D38" w:rsidRPr="00062C20">
        <w:rPr>
          <w:rFonts w:ascii="Times New Roman" w:hAnsi="Times New Roman" w:cs="Times New Roman"/>
          <w:sz w:val="24"/>
          <w:szCs w:val="24"/>
        </w:rPr>
        <w:t xml:space="preserve"> </w:t>
      </w:r>
      <w:r w:rsidR="000B5C67">
        <w:rPr>
          <w:rFonts w:ascii="Times New Roman" w:hAnsi="Times New Roman" w:cs="Times New Roman"/>
          <w:sz w:val="24"/>
          <w:szCs w:val="24"/>
        </w:rPr>
        <w:t>minute</w:t>
      </w:r>
      <w:r w:rsidR="009F0D38" w:rsidRPr="00062C20">
        <w:rPr>
          <w:rFonts w:ascii="Times New Roman" w:hAnsi="Times New Roman" w:cs="Times New Roman"/>
          <w:sz w:val="24"/>
          <w:szCs w:val="24"/>
        </w:rPr>
        <w:t>.</w:t>
      </w:r>
    </w:p>
    <w:p w14:paraId="7718D9F4" w14:textId="7D21D1EB" w:rsidR="005C2B9B" w:rsidRPr="00062C20" w:rsidRDefault="005C2B9B" w:rsidP="003834D1">
      <w:pPr>
        <w:spacing w:after="0" w:line="360" w:lineRule="auto"/>
        <w:ind w:left="426"/>
        <w:jc w:val="both"/>
        <w:rPr>
          <w:rFonts w:ascii="Times New Roman" w:hAnsi="Times New Roman" w:cs="Times New Roman"/>
          <w:sz w:val="24"/>
          <w:szCs w:val="24"/>
        </w:rPr>
      </w:pPr>
    </w:p>
    <w:p w14:paraId="0F31EEC3" w14:textId="7770CB24" w:rsidR="00943AB1" w:rsidRPr="00062C20" w:rsidRDefault="00C8355A" w:rsidP="00943AB1">
      <w:pPr>
        <w:spacing w:after="0" w:line="360" w:lineRule="auto"/>
        <w:ind w:left="-284"/>
        <w:jc w:val="both"/>
        <w:rPr>
          <w:rFonts w:ascii="Times New Roman" w:hAnsi="Times New Roman" w:cs="Times New Roman"/>
          <w:sz w:val="24"/>
          <w:szCs w:val="24"/>
        </w:rPr>
      </w:pPr>
      <w:r w:rsidRPr="00062C20">
        <w:rPr>
          <w:rFonts w:ascii="Times New Roman" w:hAnsi="Times New Roman" w:cs="Times New Roman"/>
          <w:noProof/>
          <w:lang w:bidi="hi-IN"/>
        </w:rPr>
        <w:lastRenderedPageBreak/>
        <w:drawing>
          <wp:inline distT="0" distB="0" distL="0" distR="0" wp14:anchorId="25ACFEA9" wp14:editId="10C69C41">
            <wp:extent cx="3098800" cy="2726055"/>
            <wp:effectExtent l="0" t="0" r="0" b="0"/>
            <wp:docPr id="1441186290"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062C20">
        <w:rPr>
          <w:rFonts w:ascii="Times New Roman" w:hAnsi="Times New Roman" w:cs="Times New Roman"/>
          <w:sz w:val="24"/>
          <w:szCs w:val="24"/>
        </w:rPr>
        <w:t xml:space="preserve"> </w:t>
      </w:r>
      <w:r w:rsidR="00943AB1" w:rsidRPr="00062C20">
        <w:rPr>
          <w:rFonts w:ascii="Times New Roman" w:hAnsi="Times New Roman" w:cs="Times New Roman"/>
          <w:sz w:val="24"/>
          <w:szCs w:val="24"/>
        </w:rPr>
        <w:t xml:space="preserve"> </w:t>
      </w:r>
      <w:r w:rsidRPr="00062C20">
        <w:rPr>
          <w:rFonts w:ascii="Times New Roman" w:hAnsi="Times New Roman" w:cs="Times New Roman"/>
          <w:sz w:val="24"/>
          <w:szCs w:val="24"/>
        </w:rPr>
        <w:t xml:space="preserve"> </w:t>
      </w:r>
      <w:r w:rsidRPr="00062C20">
        <w:rPr>
          <w:rFonts w:ascii="Times New Roman" w:hAnsi="Times New Roman" w:cs="Times New Roman"/>
          <w:noProof/>
          <w:lang w:bidi="hi-IN"/>
        </w:rPr>
        <w:drawing>
          <wp:inline distT="0" distB="0" distL="0" distR="0" wp14:anchorId="6589224E" wp14:editId="7F0098B7">
            <wp:extent cx="3124200" cy="2705946"/>
            <wp:effectExtent l="0" t="0" r="0" b="0"/>
            <wp:docPr id="699942239" name="Chart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C22BDF3" w14:textId="77777777" w:rsidR="00E17A2A" w:rsidRPr="00062C20" w:rsidRDefault="00E17A2A" w:rsidP="00A14FDC">
      <w:pPr>
        <w:spacing w:after="0" w:line="360" w:lineRule="auto"/>
        <w:ind w:left="-284"/>
        <w:jc w:val="center"/>
        <w:rPr>
          <w:rFonts w:ascii="Times New Roman" w:hAnsi="Times New Roman" w:cs="Times New Roman"/>
          <w:sz w:val="24"/>
          <w:szCs w:val="24"/>
        </w:rPr>
      </w:pPr>
    </w:p>
    <w:p w14:paraId="24909C43" w14:textId="42A5A4F2" w:rsidR="00943AB1" w:rsidRPr="00062C20" w:rsidRDefault="00A14FDC" w:rsidP="00A14FDC">
      <w:pPr>
        <w:spacing w:after="0" w:line="360" w:lineRule="auto"/>
        <w:ind w:left="-284"/>
        <w:jc w:val="center"/>
        <w:rPr>
          <w:rFonts w:ascii="Times New Roman" w:hAnsi="Times New Roman" w:cs="Times New Roman"/>
          <w:sz w:val="24"/>
          <w:szCs w:val="24"/>
        </w:rPr>
      </w:pPr>
      <w:r w:rsidRPr="00062C20">
        <w:rPr>
          <w:rFonts w:ascii="Times New Roman" w:hAnsi="Times New Roman" w:cs="Times New Roman"/>
          <w:sz w:val="24"/>
          <w:szCs w:val="24"/>
        </w:rPr>
        <w:t>Figure</w:t>
      </w:r>
      <w:r w:rsidR="00322FBD">
        <w:rPr>
          <w:rFonts w:ascii="Times New Roman" w:hAnsi="Times New Roman" w:cs="Times New Roman"/>
          <w:sz w:val="24"/>
          <w:szCs w:val="24"/>
        </w:rPr>
        <w:t xml:space="preserve"> </w:t>
      </w:r>
      <w:r w:rsidR="00C87389">
        <w:rPr>
          <w:rFonts w:ascii="Times New Roman" w:hAnsi="Times New Roman" w:cs="Times New Roman"/>
          <w:sz w:val="24"/>
          <w:szCs w:val="24"/>
        </w:rPr>
        <w:t>9</w:t>
      </w:r>
      <w:r w:rsidRPr="00062C20">
        <w:rPr>
          <w:rFonts w:ascii="Times New Roman" w:hAnsi="Times New Roman" w:cs="Times New Roman"/>
          <w:sz w:val="24"/>
          <w:szCs w:val="24"/>
        </w:rPr>
        <w:t xml:space="preserve">: </w:t>
      </w:r>
      <w:r w:rsidR="00322FBD">
        <w:rPr>
          <w:rFonts w:ascii="Times New Roman" w:hAnsi="Times New Roman" w:cs="Times New Roman"/>
          <w:sz w:val="24"/>
          <w:szCs w:val="24"/>
        </w:rPr>
        <w:t>(a)</w:t>
      </w:r>
      <w:r w:rsidRPr="00062C20">
        <w:rPr>
          <w:rFonts w:ascii="Times New Roman" w:hAnsi="Times New Roman" w:cs="Times New Roman"/>
          <w:sz w:val="24"/>
          <w:szCs w:val="24"/>
        </w:rPr>
        <w:t xml:space="preserve">Screening of </w:t>
      </w:r>
      <w:r w:rsidR="001A0C57" w:rsidRPr="00062C20">
        <w:rPr>
          <w:rFonts w:ascii="Times New Roman" w:hAnsi="Times New Roman" w:cs="Times New Roman"/>
          <w:sz w:val="24"/>
          <w:szCs w:val="24"/>
        </w:rPr>
        <w:t xml:space="preserve">the </w:t>
      </w:r>
      <w:r w:rsidRPr="00062C20">
        <w:rPr>
          <w:rFonts w:ascii="Times New Roman" w:hAnsi="Times New Roman" w:cs="Times New Roman"/>
          <w:sz w:val="24"/>
          <w:szCs w:val="24"/>
        </w:rPr>
        <w:t>extraction solvent and</w:t>
      </w:r>
      <w:r w:rsidR="00322FBD">
        <w:rPr>
          <w:rFonts w:ascii="Times New Roman" w:hAnsi="Times New Roman" w:cs="Times New Roman"/>
          <w:sz w:val="24"/>
          <w:szCs w:val="24"/>
        </w:rPr>
        <w:t xml:space="preserve"> (b)</w:t>
      </w:r>
      <w:r w:rsidRPr="00062C20">
        <w:rPr>
          <w:rFonts w:ascii="Times New Roman" w:hAnsi="Times New Roman" w:cs="Times New Roman"/>
          <w:sz w:val="24"/>
          <w:szCs w:val="24"/>
        </w:rPr>
        <w:t xml:space="preserve"> the extraction solvent volume</w:t>
      </w:r>
    </w:p>
    <w:p w14:paraId="42337B32" w14:textId="77777777" w:rsidR="00943AB1" w:rsidRPr="00062C20" w:rsidRDefault="00943AB1" w:rsidP="00E17A2A">
      <w:pPr>
        <w:spacing w:after="0" w:line="360" w:lineRule="auto"/>
        <w:jc w:val="both"/>
        <w:rPr>
          <w:rFonts w:ascii="Times New Roman" w:hAnsi="Times New Roman" w:cs="Times New Roman"/>
          <w:sz w:val="24"/>
          <w:szCs w:val="24"/>
        </w:rPr>
      </w:pPr>
    </w:p>
    <w:p w14:paraId="248C7676" w14:textId="77777777" w:rsidR="00E17A2A" w:rsidRPr="00062C20" w:rsidRDefault="00E17A2A" w:rsidP="00E17A2A">
      <w:pPr>
        <w:spacing w:after="0" w:line="360" w:lineRule="auto"/>
        <w:jc w:val="both"/>
        <w:rPr>
          <w:rFonts w:ascii="Times New Roman" w:hAnsi="Times New Roman" w:cs="Times New Roman"/>
          <w:sz w:val="24"/>
          <w:szCs w:val="24"/>
        </w:rPr>
      </w:pPr>
    </w:p>
    <w:p w14:paraId="7E9A5E65" w14:textId="03244753" w:rsidR="00943AB1" w:rsidRPr="00062C20" w:rsidRDefault="00C8355A" w:rsidP="00943AB1">
      <w:pPr>
        <w:spacing w:after="0" w:line="360" w:lineRule="auto"/>
        <w:ind w:left="-284"/>
        <w:jc w:val="both"/>
        <w:rPr>
          <w:rFonts w:ascii="Times New Roman" w:hAnsi="Times New Roman" w:cs="Times New Roman"/>
          <w:sz w:val="24"/>
          <w:szCs w:val="24"/>
        </w:rPr>
      </w:pPr>
      <w:r w:rsidRPr="00062C20">
        <w:rPr>
          <w:rFonts w:ascii="Times New Roman" w:hAnsi="Times New Roman" w:cs="Times New Roman"/>
          <w:noProof/>
          <w:lang w:bidi="hi-IN"/>
        </w:rPr>
        <w:drawing>
          <wp:inline distT="0" distB="0" distL="0" distR="0" wp14:anchorId="5F82363C" wp14:editId="03747BD5">
            <wp:extent cx="3115310" cy="2751032"/>
            <wp:effectExtent l="0" t="0" r="0" b="0"/>
            <wp:docPr id="701261255" name="Chart 1">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943AB1" w:rsidRPr="00062C20">
        <w:rPr>
          <w:rFonts w:ascii="Times New Roman" w:hAnsi="Times New Roman" w:cs="Times New Roman"/>
          <w:sz w:val="24"/>
          <w:szCs w:val="24"/>
        </w:rPr>
        <w:t xml:space="preserve">   </w:t>
      </w:r>
      <w:r w:rsidRPr="00062C20">
        <w:rPr>
          <w:rFonts w:ascii="Times New Roman" w:hAnsi="Times New Roman" w:cs="Times New Roman"/>
          <w:noProof/>
          <w:lang w:bidi="hi-IN"/>
        </w:rPr>
        <w:drawing>
          <wp:inline distT="0" distB="0" distL="0" distR="0" wp14:anchorId="22A62706" wp14:editId="78A3D68A">
            <wp:extent cx="3124200" cy="2750820"/>
            <wp:effectExtent l="0" t="0" r="0" b="0"/>
            <wp:docPr id="927237823" name="Chart 1">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041629C" w14:textId="77777777" w:rsidR="00943AB1" w:rsidRPr="00062C20" w:rsidRDefault="00943AB1" w:rsidP="005C2B9B">
      <w:pPr>
        <w:spacing w:after="0" w:line="360" w:lineRule="auto"/>
        <w:jc w:val="both"/>
        <w:rPr>
          <w:rFonts w:ascii="Times New Roman" w:hAnsi="Times New Roman" w:cs="Times New Roman"/>
          <w:sz w:val="24"/>
          <w:szCs w:val="24"/>
        </w:rPr>
      </w:pPr>
    </w:p>
    <w:p w14:paraId="54AC899B" w14:textId="750CC571" w:rsidR="00A14FDC" w:rsidRDefault="00A14FDC" w:rsidP="00E17A2A">
      <w:pPr>
        <w:spacing w:after="0" w:line="360" w:lineRule="auto"/>
        <w:ind w:left="-284"/>
        <w:jc w:val="center"/>
        <w:rPr>
          <w:rFonts w:ascii="Times New Roman" w:hAnsi="Times New Roman" w:cs="Times New Roman"/>
          <w:sz w:val="24"/>
          <w:szCs w:val="24"/>
        </w:rPr>
      </w:pPr>
      <w:r w:rsidRPr="00062C20">
        <w:rPr>
          <w:rFonts w:ascii="Times New Roman" w:hAnsi="Times New Roman" w:cs="Times New Roman"/>
          <w:sz w:val="24"/>
          <w:szCs w:val="24"/>
        </w:rPr>
        <w:t>Figure</w:t>
      </w:r>
      <w:r w:rsidR="00322FBD">
        <w:rPr>
          <w:rFonts w:ascii="Times New Roman" w:hAnsi="Times New Roman" w:cs="Times New Roman"/>
          <w:sz w:val="24"/>
          <w:szCs w:val="24"/>
        </w:rPr>
        <w:t xml:space="preserve"> 1</w:t>
      </w:r>
      <w:r w:rsidR="002E3BB0">
        <w:rPr>
          <w:rFonts w:ascii="Times New Roman" w:hAnsi="Times New Roman" w:cs="Times New Roman"/>
          <w:sz w:val="24"/>
          <w:szCs w:val="24"/>
        </w:rPr>
        <w:t>0</w:t>
      </w:r>
      <w:r w:rsidRPr="00062C20">
        <w:rPr>
          <w:rFonts w:ascii="Times New Roman" w:hAnsi="Times New Roman" w:cs="Times New Roman"/>
          <w:sz w:val="24"/>
          <w:szCs w:val="24"/>
        </w:rPr>
        <w:t xml:space="preserve">: </w:t>
      </w:r>
      <w:r w:rsidR="00322FBD">
        <w:rPr>
          <w:rFonts w:ascii="Times New Roman" w:hAnsi="Times New Roman" w:cs="Times New Roman"/>
          <w:sz w:val="24"/>
          <w:szCs w:val="24"/>
        </w:rPr>
        <w:t xml:space="preserve">(a) </w:t>
      </w:r>
      <w:r w:rsidRPr="00062C20">
        <w:rPr>
          <w:rFonts w:ascii="Times New Roman" w:hAnsi="Times New Roman" w:cs="Times New Roman"/>
          <w:sz w:val="24"/>
          <w:szCs w:val="24"/>
        </w:rPr>
        <w:t>Screening of the disperser solvent and</w:t>
      </w:r>
      <w:r w:rsidR="00322FBD">
        <w:rPr>
          <w:rFonts w:ascii="Times New Roman" w:hAnsi="Times New Roman" w:cs="Times New Roman"/>
          <w:sz w:val="24"/>
          <w:szCs w:val="24"/>
        </w:rPr>
        <w:t xml:space="preserve"> (b)</w:t>
      </w:r>
      <w:r w:rsidRPr="00062C20">
        <w:rPr>
          <w:rFonts w:ascii="Times New Roman" w:hAnsi="Times New Roman" w:cs="Times New Roman"/>
          <w:sz w:val="24"/>
          <w:szCs w:val="24"/>
        </w:rPr>
        <w:t xml:space="preserve"> the disperser solvent volume</w:t>
      </w:r>
    </w:p>
    <w:p w14:paraId="6BFA3719" w14:textId="77777777" w:rsidR="005C2B9B" w:rsidRPr="00062C20" w:rsidRDefault="005C2B9B" w:rsidP="00E17A2A">
      <w:pPr>
        <w:spacing w:after="0" w:line="360" w:lineRule="auto"/>
        <w:ind w:left="-284"/>
        <w:jc w:val="center"/>
        <w:rPr>
          <w:rFonts w:ascii="Times New Roman" w:hAnsi="Times New Roman" w:cs="Times New Roman"/>
          <w:sz w:val="24"/>
          <w:szCs w:val="24"/>
        </w:rPr>
      </w:pPr>
    </w:p>
    <w:p w14:paraId="69F6B74E" w14:textId="3ED72E62" w:rsidR="00C8355A" w:rsidRPr="00062C20" w:rsidRDefault="00C8355A" w:rsidP="00943AB1">
      <w:pPr>
        <w:spacing w:after="0" w:line="360" w:lineRule="auto"/>
        <w:ind w:left="-284"/>
        <w:jc w:val="both"/>
        <w:rPr>
          <w:rFonts w:ascii="Times New Roman" w:hAnsi="Times New Roman" w:cs="Times New Roman"/>
          <w:sz w:val="24"/>
          <w:szCs w:val="24"/>
        </w:rPr>
      </w:pPr>
      <w:r w:rsidRPr="00062C20">
        <w:rPr>
          <w:rFonts w:ascii="Times New Roman" w:hAnsi="Times New Roman" w:cs="Times New Roman"/>
          <w:noProof/>
          <w:lang w:bidi="hi-IN"/>
        </w:rPr>
        <w:lastRenderedPageBreak/>
        <w:drawing>
          <wp:inline distT="0" distB="0" distL="0" distR="0" wp14:anchorId="2A016701" wp14:editId="484D1D12">
            <wp:extent cx="3090333" cy="2740660"/>
            <wp:effectExtent l="0" t="0" r="0" b="0"/>
            <wp:docPr id="528266436" name="Chart 1">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943AB1" w:rsidRPr="00062C20">
        <w:rPr>
          <w:rFonts w:ascii="Times New Roman" w:hAnsi="Times New Roman" w:cs="Times New Roman"/>
          <w:sz w:val="24"/>
          <w:szCs w:val="24"/>
        </w:rPr>
        <w:t xml:space="preserve">   </w:t>
      </w:r>
      <w:r w:rsidR="00001F0C">
        <w:rPr>
          <w:noProof/>
          <w:lang w:bidi="hi-IN"/>
        </w:rPr>
        <w:drawing>
          <wp:inline distT="0" distB="0" distL="0" distR="0" wp14:anchorId="601B346D" wp14:editId="4E58859E">
            <wp:extent cx="3117850" cy="2754630"/>
            <wp:effectExtent l="0" t="0" r="0" b="0"/>
            <wp:docPr id="890011698" name="Chart 1">
              <a:extLst xmlns:a="http://schemas.openxmlformats.org/drawingml/2006/main">
                <a:ext uri="{FF2B5EF4-FFF2-40B4-BE49-F238E27FC236}">
                  <a16:creationId xmlns:a16="http://schemas.microsoft.com/office/drawing/2014/main" id="{666A4533-79BA-4852-AEFB-144ED5B686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6AB79E4" w14:textId="77777777" w:rsidR="00157C28" w:rsidRPr="00062C20" w:rsidRDefault="00157C28" w:rsidP="00157C28">
      <w:pPr>
        <w:spacing w:after="0" w:line="360" w:lineRule="auto"/>
        <w:ind w:left="-284"/>
        <w:jc w:val="center"/>
        <w:rPr>
          <w:rFonts w:ascii="Times New Roman" w:hAnsi="Times New Roman" w:cs="Times New Roman"/>
          <w:sz w:val="24"/>
          <w:szCs w:val="24"/>
        </w:rPr>
      </w:pPr>
    </w:p>
    <w:p w14:paraId="521C2B3C" w14:textId="343602D0" w:rsidR="001455D4" w:rsidRDefault="00157C28" w:rsidP="00D656CA">
      <w:pPr>
        <w:spacing w:after="0" w:line="360" w:lineRule="auto"/>
        <w:ind w:left="-284"/>
        <w:jc w:val="center"/>
        <w:rPr>
          <w:rFonts w:ascii="Times New Roman" w:hAnsi="Times New Roman" w:cs="Times New Roman"/>
          <w:sz w:val="24"/>
          <w:szCs w:val="24"/>
        </w:rPr>
      </w:pPr>
      <w:r w:rsidRPr="00062C20">
        <w:rPr>
          <w:rFonts w:ascii="Times New Roman" w:hAnsi="Times New Roman" w:cs="Times New Roman"/>
          <w:sz w:val="24"/>
          <w:szCs w:val="24"/>
        </w:rPr>
        <w:t>Figure</w:t>
      </w:r>
      <w:r w:rsidR="00322FBD">
        <w:rPr>
          <w:rFonts w:ascii="Times New Roman" w:hAnsi="Times New Roman" w:cs="Times New Roman"/>
          <w:sz w:val="24"/>
          <w:szCs w:val="24"/>
        </w:rPr>
        <w:t xml:space="preserve"> 1</w:t>
      </w:r>
      <w:r w:rsidR="002E3BB0">
        <w:rPr>
          <w:rFonts w:ascii="Times New Roman" w:hAnsi="Times New Roman" w:cs="Times New Roman"/>
          <w:sz w:val="24"/>
          <w:szCs w:val="24"/>
        </w:rPr>
        <w:t>1</w:t>
      </w:r>
      <w:r w:rsidRPr="00062C20">
        <w:rPr>
          <w:rFonts w:ascii="Times New Roman" w:hAnsi="Times New Roman" w:cs="Times New Roman"/>
          <w:sz w:val="24"/>
          <w:szCs w:val="24"/>
        </w:rPr>
        <w:t xml:space="preserve">: </w:t>
      </w:r>
      <w:r w:rsidR="00322FBD">
        <w:rPr>
          <w:rFonts w:ascii="Times New Roman" w:hAnsi="Times New Roman" w:cs="Times New Roman"/>
          <w:sz w:val="24"/>
          <w:szCs w:val="24"/>
        </w:rPr>
        <w:t xml:space="preserve">(a) </w:t>
      </w:r>
      <w:r w:rsidRPr="00062C20">
        <w:rPr>
          <w:rFonts w:ascii="Times New Roman" w:hAnsi="Times New Roman" w:cs="Times New Roman"/>
          <w:sz w:val="24"/>
          <w:szCs w:val="24"/>
        </w:rPr>
        <w:t xml:space="preserve">Screening of pH and </w:t>
      </w:r>
      <w:r w:rsidR="00322FBD">
        <w:rPr>
          <w:rFonts w:ascii="Times New Roman" w:hAnsi="Times New Roman" w:cs="Times New Roman"/>
          <w:sz w:val="24"/>
          <w:szCs w:val="24"/>
        </w:rPr>
        <w:t xml:space="preserve">(b) </w:t>
      </w:r>
      <w:r w:rsidRPr="00062C20">
        <w:rPr>
          <w:rFonts w:ascii="Times New Roman" w:hAnsi="Times New Roman" w:cs="Times New Roman"/>
          <w:sz w:val="24"/>
          <w:szCs w:val="24"/>
        </w:rPr>
        <w:t xml:space="preserve">the </w:t>
      </w:r>
      <w:r w:rsidR="00322FBD">
        <w:rPr>
          <w:rFonts w:ascii="Times New Roman" w:hAnsi="Times New Roman" w:cs="Times New Roman"/>
          <w:sz w:val="24"/>
          <w:szCs w:val="24"/>
        </w:rPr>
        <w:t>ionic strength.</w:t>
      </w:r>
    </w:p>
    <w:p w14:paraId="1ACC7593" w14:textId="77777777" w:rsidR="00322FBD" w:rsidRDefault="00322FBD" w:rsidP="00D656CA">
      <w:pPr>
        <w:spacing w:after="0" w:line="360" w:lineRule="auto"/>
        <w:ind w:left="-284"/>
        <w:jc w:val="center"/>
        <w:rPr>
          <w:rFonts w:ascii="Times New Roman" w:hAnsi="Times New Roman" w:cs="Times New Roman"/>
          <w:sz w:val="24"/>
          <w:szCs w:val="24"/>
        </w:rPr>
      </w:pPr>
    </w:p>
    <w:p w14:paraId="590FD38C" w14:textId="4F337CE6" w:rsidR="00322FBD" w:rsidRDefault="00322FBD" w:rsidP="00D656CA">
      <w:pPr>
        <w:spacing w:after="0" w:line="360" w:lineRule="auto"/>
        <w:ind w:left="-284"/>
        <w:jc w:val="center"/>
        <w:rPr>
          <w:rFonts w:ascii="Times New Roman" w:hAnsi="Times New Roman" w:cs="Times New Roman"/>
          <w:sz w:val="24"/>
          <w:szCs w:val="24"/>
        </w:rPr>
      </w:pPr>
      <w:r w:rsidRPr="00062C20">
        <w:rPr>
          <w:rFonts w:ascii="Times New Roman" w:hAnsi="Times New Roman" w:cs="Times New Roman"/>
          <w:noProof/>
          <w:lang w:bidi="hi-IN"/>
        </w:rPr>
        <w:drawing>
          <wp:inline distT="0" distB="0" distL="0" distR="0" wp14:anchorId="054B51A2" wp14:editId="358771AB">
            <wp:extent cx="3089910" cy="2752513"/>
            <wp:effectExtent l="0" t="0" r="0" b="0"/>
            <wp:docPr id="469180752" name="Chart 1">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CDE49A9" w14:textId="77777777" w:rsidR="00322FBD" w:rsidRDefault="00322FBD" w:rsidP="00D656CA">
      <w:pPr>
        <w:spacing w:after="0" w:line="360" w:lineRule="auto"/>
        <w:ind w:left="-284"/>
        <w:jc w:val="center"/>
        <w:rPr>
          <w:rFonts w:ascii="Times New Roman" w:hAnsi="Times New Roman" w:cs="Times New Roman"/>
          <w:sz w:val="24"/>
          <w:szCs w:val="24"/>
        </w:rPr>
      </w:pPr>
    </w:p>
    <w:p w14:paraId="23CBAE68" w14:textId="73BAC259" w:rsidR="00322FBD" w:rsidRDefault="00322FBD" w:rsidP="00D656CA">
      <w:pPr>
        <w:spacing w:after="0" w:line="360" w:lineRule="auto"/>
        <w:ind w:left="-284"/>
        <w:jc w:val="center"/>
        <w:rPr>
          <w:rFonts w:ascii="Times New Roman" w:hAnsi="Times New Roman" w:cs="Times New Roman"/>
          <w:sz w:val="24"/>
          <w:szCs w:val="24"/>
        </w:rPr>
      </w:pPr>
      <w:r>
        <w:rPr>
          <w:rFonts w:ascii="Times New Roman" w:hAnsi="Times New Roman" w:cs="Times New Roman"/>
          <w:sz w:val="24"/>
          <w:szCs w:val="24"/>
        </w:rPr>
        <w:t>Figure 1</w:t>
      </w:r>
      <w:r w:rsidR="002E3BB0">
        <w:rPr>
          <w:rFonts w:ascii="Times New Roman" w:hAnsi="Times New Roman" w:cs="Times New Roman"/>
          <w:sz w:val="24"/>
          <w:szCs w:val="24"/>
        </w:rPr>
        <w:t>2</w:t>
      </w:r>
      <w:r>
        <w:rPr>
          <w:rFonts w:ascii="Times New Roman" w:hAnsi="Times New Roman" w:cs="Times New Roman"/>
          <w:sz w:val="24"/>
          <w:szCs w:val="24"/>
        </w:rPr>
        <w:t xml:space="preserve">: Screening of </w:t>
      </w:r>
      <w:r w:rsidR="002E3BB0">
        <w:rPr>
          <w:rFonts w:ascii="Times New Roman" w:hAnsi="Times New Roman" w:cs="Times New Roman"/>
          <w:sz w:val="24"/>
          <w:szCs w:val="24"/>
        </w:rPr>
        <w:t xml:space="preserve">the </w:t>
      </w:r>
      <w:r w:rsidRPr="00062C20">
        <w:rPr>
          <w:rFonts w:ascii="Times New Roman" w:hAnsi="Times New Roman" w:cs="Times New Roman"/>
          <w:sz w:val="24"/>
          <w:szCs w:val="24"/>
        </w:rPr>
        <w:t>extraction mode (</w:t>
      </w:r>
      <w:proofErr w:type="spellStart"/>
      <w:r w:rsidRPr="00062C20">
        <w:rPr>
          <w:rFonts w:ascii="Times New Roman" w:hAnsi="Times New Roman" w:cs="Times New Roman"/>
          <w:sz w:val="24"/>
          <w:szCs w:val="24"/>
        </w:rPr>
        <w:t>ultrasonicator</w:t>
      </w:r>
      <w:proofErr w:type="spellEnd"/>
      <w:r w:rsidRPr="00062C20">
        <w:rPr>
          <w:rFonts w:ascii="Times New Roman" w:hAnsi="Times New Roman" w:cs="Times New Roman"/>
          <w:sz w:val="24"/>
          <w:szCs w:val="24"/>
        </w:rPr>
        <w:t>) time</w:t>
      </w:r>
      <w:r>
        <w:rPr>
          <w:rFonts w:ascii="Times New Roman" w:hAnsi="Times New Roman" w:cs="Times New Roman"/>
          <w:sz w:val="24"/>
          <w:szCs w:val="24"/>
        </w:rPr>
        <w:t>.</w:t>
      </w:r>
    </w:p>
    <w:p w14:paraId="00AF7AB0" w14:textId="77777777" w:rsidR="000B5C67" w:rsidRDefault="000B5C67" w:rsidP="00D656CA">
      <w:pPr>
        <w:spacing w:after="0" w:line="360" w:lineRule="auto"/>
        <w:ind w:left="-284"/>
        <w:jc w:val="center"/>
        <w:rPr>
          <w:rFonts w:ascii="Times New Roman" w:hAnsi="Times New Roman" w:cs="Times New Roman"/>
          <w:sz w:val="24"/>
          <w:szCs w:val="24"/>
        </w:rPr>
      </w:pPr>
    </w:p>
    <w:p w14:paraId="0DB9E849" w14:textId="77777777" w:rsidR="00322FBD" w:rsidRDefault="00322FBD" w:rsidP="00D656CA">
      <w:pPr>
        <w:spacing w:after="0" w:line="360" w:lineRule="auto"/>
        <w:ind w:left="-284"/>
        <w:jc w:val="center"/>
        <w:rPr>
          <w:rFonts w:ascii="Times New Roman" w:hAnsi="Times New Roman" w:cs="Times New Roman"/>
          <w:sz w:val="24"/>
          <w:szCs w:val="24"/>
        </w:rPr>
      </w:pPr>
    </w:p>
    <w:p w14:paraId="55EBF0A0" w14:textId="77777777" w:rsidR="002E3BB0" w:rsidRPr="00062C20" w:rsidRDefault="002E3BB0" w:rsidP="00D656CA">
      <w:pPr>
        <w:spacing w:after="0" w:line="360" w:lineRule="auto"/>
        <w:ind w:left="-284"/>
        <w:jc w:val="center"/>
        <w:rPr>
          <w:rFonts w:ascii="Times New Roman" w:hAnsi="Times New Roman" w:cs="Times New Roman"/>
          <w:sz w:val="24"/>
          <w:szCs w:val="24"/>
        </w:rPr>
      </w:pPr>
    </w:p>
    <w:p w14:paraId="0826050A" w14:textId="50DA015C" w:rsidR="001455D4" w:rsidRPr="00062C20" w:rsidRDefault="001455D4" w:rsidP="00E97634">
      <w:pPr>
        <w:spacing w:after="0" w:line="360" w:lineRule="auto"/>
        <w:jc w:val="both"/>
        <w:rPr>
          <w:rFonts w:ascii="Times New Roman" w:hAnsi="Times New Roman" w:cs="Times New Roman"/>
          <w:b/>
          <w:bCs/>
          <w:sz w:val="24"/>
          <w:szCs w:val="24"/>
        </w:rPr>
      </w:pPr>
      <w:r w:rsidRPr="00062C20">
        <w:rPr>
          <w:rFonts w:ascii="Times New Roman" w:hAnsi="Times New Roman" w:cs="Times New Roman"/>
          <w:b/>
          <w:bCs/>
          <w:sz w:val="24"/>
          <w:szCs w:val="24"/>
        </w:rPr>
        <w:lastRenderedPageBreak/>
        <w:t>3.2 Method validation</w:t>
      </w:r>
    </w:p>
    <w:p w14:paraId="3DB33980" w14:textId="49C4D2C0" w:rsidR="00DD4030" w:rsidRDefault="00DD4030" w:rsidP="00E97634">
      <w:pPr>
        <w:spacing w:after="0" w:line="360" w:lineRule="auto"/>
        <w:jc w:val="both"/>
        <w:rPr>
          <w:rFonts w:ascii="Times New Roman" w:hAnsi="Times New Roman" w:cs="Times New Roman"/>
          <w:sz w:val="24"/>
          <w:szCs w:val="24"/>
        </w:rPr>
      </w:pPr>
      <w:r w:rsidRPr="00062C20">
        <w:rPr>
          <w:rFonts w:ascii="Times New Roman" w:hAnsi="Times New Roman" w:cs="Times New Roman"/>
          <w:sz w:val="24"/>
          <w:szCs w:val="24"/>
        </w:rPr>
        <w:t>The optimized parameters were kept intact for the method validation according to ‘</w:t>
      </w:r>
      <w:r w:rsidRPr="00062C20">
        <w:rPr>
          <w:rFonts w:ascii="Times New Roman" w:hAnsi="Times New Roman" w:cs="Times New Roman"/>
          <w:i/>
          <w:iCs/>
          <w:sz w:val="24"/>
          <w:szCs w:val="24"/>
        </w:rPr>
        <w:t>The Standard Practice for Method Validation in Forensic Toxicology by the Scientific Working Group of Forensic Toxicology (SWGTOX)</w:t>
      </w:r>
      <w:r w:rsidRPr="00062C20">
        <w:rPr>
          <w:rFonts w:ascii="Times New Roman" w:hAnsi="Times New Roman" w:cs="Times New Roman"/>
          <w:sz w:val="24"/>
          <w:szCs w:val="24"/>
        </w:rPr>
        <w:t>’ for the suggested UA-DLLME-TLC image analysis methodology for the detection of RSP. The target analyte (i.e., RSP) was fortified at various concentrations</w:t>
      </w:r>
      <w:r w:rsidR="00255EA3" w:rsidRPr="00062C20">
        <w:rPr>
          <w:rFonts w:ascii="Times New Roman" w:hAnsi="Times New Roman" w:cs="Times New Roman"/>
          <w:sz w:val="24"/>
          <w:szCs w:val="24"/>
        </w:rPr>
        <w:t xml:space="preserve"> ranging</w:t>
      </w:r>
      <w:r w:rsidRPr="00062C20">
        <w:rPr>
          <w:rFonts w:ascii="Times New Roman" w:hAnsi="Times New Roman" w:cs="Times New Roman"/>
          <w:sz w:val="24"/>
          <w:szCs w:val="24"/>
        </w:rPr>
        <w:t xml:space="preserve"> between 0.25 and 1</w:t>
      </w:r>
      <w:r w:rsidR="008445F8" w:rsidRPr="00062C20">
        <w:rPr>
          <w:rFonts w:ascii="Times New Roman" w:hAnsi="Times New Roman" w:cs="Times New Roman"/>
          <w:sz w:val="24"/>
          <w:szCs w:val="24"/>
        </w:rPr>
        <w:t>0</w:t>
      </w:r>
      <w:r w:rsidRPr="00062C20">
        <w:rPr>
          <w:rFonts w:ascii="Times New Roman" w:hAnsi="Times New Roman" w:cs="Times New Roman"/>
          <w:sz w:val="24"/>
          <w:szCs w:val="24"/>
        </w:rPr>
        <w:t xml:space="preserve"> </w:t>
      </w:r>
      <w:r w:rsidR="00885061" w:rsidRPr="00062C20">
        <w:rPr>
          <w:rFonts w:ascii="Times New Roman" w:hAnsi="Times New Roman" w:cs="Times New Roman"/>
          <w:sz w:val="24"/>
          <w:szCs w:val="24"/>
        </w:rPr>
        <w:t>mg/</w:t>
      </w:r>
      <w:proofErr w:type="spellStart"/>
      <w:r w:rsidR="00885061" w:rsidRPr="00062C20">
        <w:rPr>
          <w:rFonts w:ascii="Times New Roman" w:hAnsi="Times New Roman" w:cs="Times New Roman"/>
          <w:sz w:val="24"/>
          <w:szCs w:val="24"/>
        </w:rPr>
        <w:t>mL</w:t>
      </w:r>
      <w:r w:rsidRPr="00062C20">
        <w:rPr>
          <w:rFonts w:ascii="Times New Roman" w:hAnsi="Times New Roman" w:cs="Times New Roman"/>
          <w:sz w:val="24"/>
          <w:szCs w:val="24"/>
        </w:rPr>
        <w:t>.</w:t>
      </w:r>
      <w:proofErr w:type="spellEnd"/>
      <w:r w:rsidR="00255EA3" w:rsidRPr="00062C20">
        <w:rPr>
          <w:rFonts w:ascii="Times New Roman" w:hAnsi="Times New Roman" w:cs="Times New Roman"/>
          <w:sz w:val="24"/>
          <w:szCs w:val="24"/>
        </w:rPr>
        <w:t xml:space="preserve"> The </w:t>
      </w:r>
      <w:r w:rsidR="00F31BED">
        <w:rPr>
          <w:rFonts w:ascii="Times New Roman" w:hAnsi="Times New Roman" w:cs="Times New Roman"/>
          <w:sz w:val="24"/>
          <w:szCs w:val="24"/>
        </w:rPr>
        <w:t>limit of detection (LOD)</w:t>
      </w:r>
      <w:r w:rsidR="00255EA3" w:rsidRPr="00062C20">
        <w:rPr>
          <w:rFonts w:ascii="Times New Roman" w:hAnsi="Times New Roman" w:cs="Times New Roman"/>
          <w:sz w:val="24"/>
          <w:szCs w:val="24"/>
        </w:rPr>
        <w:t xml:space="preserve"> and </w:t>
      </w:r>
      <w:r w:rsidR="00F31BED">
        <w:rPr>
          <w:rFonts w:ascii="Times New Roman" w:hAnsi="Times New Roman" w:cs="Times New Roman"/>
          <w:sz w:val="24"/>
          <w:szCs w:val="24"/>
        </w:rPr>
        <w:t>limit of quantification</w:t>
      </w:r>
      <w:r w:rsidR="00466B10" w:rsidRPr="00062C20">
        <w:rPr>
          <w:rFonts w:ascii="Times New Roman" w:hAnsi="Times New Roman" w:cs="Times New Roman"/>
          <w:sz w:val="24"/>
          <w:szCs w:val="24"/>
        </w:rPr>
        <w:t xml:space="preserve"> </w:t>
      </w:r>
      <w:r w:rsidR="00F31BED">
        <w:rPr>
          <w:rFonts w:ascii="Times New Roman" w:hAnsi="Times New Roman" w:cs="Times New Roman"/>
          <w:sz w:val="24"/>
          <w:szCs w:val="24"/>
        </w:rPr>
        <w:t xml:space="preserve">(LOQ) </w:t>
      </w:r>
      <w:r w:rsidR="00466B10" w:rsidRPr="00062C20">
        <w:rPr>
          <w:rFonts w:ascii="Times New Roman" w:hAnsi="Times New Roman" w:cs="Times New Roman"/>
          <w:sz w:val="24"/>
          <w:szCs w:val="24"/>
        </w:rPr>
        <w:t>(table</w:t>
      </w:r>
      <w:r w:rsidR="00CC5B9C">
        <w:rPr>
          <w:rFonts w:ascii="Times New Roman" w:hAnsi="Times New Roman" w:cs="Times New Roman"/>
          <w:sz w:val="24"/>
          <w:szCs w:val="24"/>
        </w:rPr>
        <w:t xml:space="preserve"> 1</w:t>
      </w:r>
      <w:r w:rsidR="00466B10" w:rsidRPr="00062C20">
        <w:rPr>
          <w:rFonts w:ascii="Times New Roman" w:hAnsi="Times New Roman" w:cs="Times New Roman"/>
          <w:sz w:val="24"/>
          <w:szCs w:val="24"/>
        </w:rPr>
        <w:t>)</w:t>
      </w:r>
      <w:r w:rsidR="00255EA3" w:rsidRPr="00062C20">
        <w:rPr>
          <w:rFonts w:ascii="Times New Roman" w:hAnsi="Times New Roman" w:cs="Times New Roman"/>
          <w:sz w:val="24"/>
          <w:szCs w:val="24"/>
        </w:rPr>
        <w:t xml:space="preserve"> of the </w:t>
      </w:r>
      <w:r w:rsidR="00885061" w:rsidRPr="00062C20">
        <w:rPr>
          <w:rFonts w:ascii="Times New Roman" w:hAnsi="Times New Roman" w:cs="Times New Roman"/>
          <w:sz w:val="24"/>
          <w:szCs w:val="24"/>
        </w:rPr>
        <w:t>method</w:t>
      </w:r>
      <w:r w:rsidR="00255EA3" w:rsidRPr="00062C20">
        <w:rPr>
          <w:rFonts w:ascii="Times New Roman" w:hAnsi="Times New Roman" w:cs="Times New Roman"/>
          <w:sz w:val="24"/>
          <w:szCs w:val="24"/>
        </w:rPr>
        <w:t xml:space="preserve"> were found to be </w:t>
      </w:r>
      <w:r w:rsidR="00CC5B9C">
        <w:rPr>
          <w:rFonts w:ascii="Times New Roman" w:hAnsi="Times New Roman" w:cs="Times New Roman"/>
          <w:sz w:val="24"/>
          <w:szCs w:val="24"/>
        </w:rPr>
        <w:t>0.18</w:t>
      </w:r>
      <w:r w:rsidR="00255EA3" w:rsidRPr="00062C20">
        <w:rPr>
          <w:rFonts w:ascii="Times New Roman" w:hAnsi="Times New Roman" w:cs="Times New Roman"/>
          <w:sz w:val="24"/>
          <w:szCs w:val="24"/>
        </w:rPr>
        <w:t xml:space="preserve"> and </w:t>
      </w:r>
      <w:r w:rsidR="00CC5B9C">
        <w:rPr>
          <w:rFonts w:ascii="Times New Roman" w:hAnsi="Times New Roman" w:cs="Times New Roman"/>
          <w:sz w:val="24"/>
          <w:szCs w:val="24"/>
        </w:rPr>
        <w:t>1.00</w:t>
      </w:r>
      <w:r w:rsidR="00255EA3" w:rsidRPr="00062C20">
        <w:rPr>
          <w:rFonts w:ascii="Times New Roman" w:hAnsi="Times New Roman" w:cs="Times New Roman"/>
          <w:sz w:val="24"/>
          <w:szCs w:val="24"/>
        </w:rPr>
        <w:t xml:space="preserve"> for blood,</w:t>
      </w:r>
      <w:r w:rsidR="00A920A9">
        <w:rPr>
          <w:rFonts w:ascii="Times New Roman" w:hAnsi="Times New Roman" w:cs="Times New Roman"/>
          <w:sz w:val="24"/>
          <w:szCs w:val="24"/>
        </w:rPr>
        <w:t xml:space="preserve"> 0.22 </w:t>
      </w:r>
      <w:r w:rsidR="00255EA3" w:rsidRPr="00062C20">
        <w:rPr>
          <w:rFonts w:ascii="Times New Roman" w:hAnsi="Times New Roman" w:cs="Times New Roman"/>
          <w:sz w:val="24"/>
          <w:szCs w:val="24"/>
        </w:rPr>
        <w:t>and</w:t>
      </w:r>
      <w:r w:rsidR="00A920A9">
        <w:rPr>
          <w:rFonts w:ascii="Times New Roman" w:hAnsi="Times New Roman" w:cs="Times New Roman"/>
          <w:sz w:val="24"/>
          <w:szCs w:val="24"/>
        </w:rPr>
        <w:t xml:space="preserve"> 0.08</w:t>
      </w:r>
      <w:r w:rsidR="00255EA3" w:rsidRPr="00062C20">
        <w:rPr>
          <w:rFonts w:ascii="Times New Roman" w:hAnsi="Times New Roman" w:cs="Times New Roman"/>
          <w:sz w:val="24"/>
          <w:szCs w:val="24"/>
        </w:rPr>
        <w:t xml:space="preserve"> for urine, and </w:t>
      </w:r>
      <w:r w:rsidR="00A920A9">
        <w:rPr>
          <w:rFonts w:ascii="Times New Roman" w:hAnsi="Times New Roman" w:cs="Times New Roman"/>
          <w:sz w:val="24"/>
          <w:szCs w:val="24"/>
        </w:rPr>
        <w:t>0.03</w:t>
      </w:r>
      <w:r w:rsidR="00255EA3" w:rsidRPr="00062C20">
        <w:rPr>
          <w:rFonts w:ascii="Times New Roman" w:hAnsi="Times New Roman" w:cs="Times New Roman"/>
          <w:sz w:val="24"/>
          <w:szCs w:val="24"/>
        </w:rPr>
        <w:t xml:space="preserve"> and </w:t>
      </w:r>
      <w:r w:rsidR="00A920A9">
        <w:rPr>
          <w:rFonts w:ascii="Times New Roman" w:hAnsi="Times New Roman" w:cs="Times New Roman"/>
          <w:sz w:val="24"/>
          <w:szCs w:val="24"/>
        </w:rPr>
        <w:t>0.46</w:t>
      </w:r>
      <w:r w:rsidR="00255EA3" w:rsidRPr="00062C20">
        <w:rPr>
          <w:rFonts w:ascii="Times New Roman" w:hAnsi="Times New Roman" w:cs="Times New Roman"/>
          <w:sz w:val="24"/>
          <w:szCs w:val="24"/>
        </w:rPr>
        <w:t xml:space="preserve"> for the pill samples. </w:t>
      </w:r>
      <w:r w:rsidR="00E419A4" w:rsidRPr="00062C20">
        <w:rPr>
          <w:rFonts w:ascii="Times New Roman" w:hAnsi="Times New Roman" w:cs="Times New Roman"/>
          <w:sz w:val="24"/>
          <w:szCs w:val="24"/>
        </w:rPr>
        <w:t>The calibration curve</w:t>
      </w:r>
      <w:r w:rsidR="008972BD" w:rsidRPr="00062C20">
        <w:rPr>
          <w:rFonts w:ascii="Times New Roman" w:hAnsi="Times New Roman" w:cs="Times New Roman"/>
          <w:sz w:val="24"/>
          <w:szCs w:val="24"/>
        </w:rPr>
        <w:t xml:space="preserve"> (fig</w:t>
      </w:r>
      <w:r w:rsidR="00A920A9">
        <w:rPr>
          <w:rFonts w:ascii="Times New Roman" w:hAnsi="Times New Roman" w:cs="Times New Roman"/>
          <w:sz w:val="24"/>
          <w:szCs w:val="24"/>
        </w:rPr>
        <w:t xml:space="preserve"> 1</w:t>
      </w:r>
      <w:r w:rsidR="00534690">
        <w:rPr>
          <w:rFonts w:ascii="Times New Roman" w:hAnsi="Times New Roman" w:cs="Times New Roman"/>
          <w:sz w:val="24"/>
          <w:szCs w:val="24"/>
        </w:rPr>
        <w:t>3</w:t>
      </w:r>
      <w:r w:rsidR="00A920A9">
        <w:rPr>
          <w:rFonts w:ascii="Times New Roman" w:hAnsi="Times New Roman" w:cs="Times New Roman"/>
          <w:sz w:val="24"/>
          <w:szCs w:val="24"/>
        </w:rPr>
        <w:t>a</w:t>
      </w:r>
      <w:r w:rsidR="00F31BED">
        <w:rPr>
          <w:rFonts w:ascii="Times New Roman" w:hAnsi="Times New Roman" w:cs="Times New Roman"/>
          <w:sz w:val="24"/>
          <w:szCs w:val="24"/>
        </w:rPr>
        <w:t>, 1</w:t>
      </w:r>
      <w:r w:rsidR="00534690">
        <w:rPr>
          <w:rFonts w:ascii="Times New Roman" w:hAnsi="Times New Roman" w:cs="Times New Roman"/>
          <w:sz w:val="24"/>
          <w:szCs w:val="24"/>
        </w:rPr>
        <w:t>3</w:t>
      </w:r>
      <w:r w:rsidR="00F31BED">
        <w:rPr>
          <w:rFonts w:ascii="Times New Roman" w:hAnsi="Times New Roman" w:cs="Times New Roman"/>
          <w:sz w:val="24"/>
          <w:szCs w:val="24"/>
        </w:rPr>
        <w:t xml:space="preserve">b, and </w:t>
      </w:r>
      <w:r w:rsidR="00A920A9">
        <w:rPr>
          <w:rFonts w:ascii="Times New Roman" w:hAnsi="Times New Roman" w:cs="Times New Roman"/>
          <w:sz w:val="24"/>
          <w:szCs w:val="24"/>
        </w:rPr>
        <w:t>1</w:t>
      </w:r>
      <w:r w:rsidR="00534690">
        <w:rPr>
          <w:rFonts w:ascii="Times New Roman" w:hAnsi="Times New Roman" w:cs="Times New Roman"/>
          <w:sz w:val="24"/>
          <w:szCs w:val="24"/>
        </w:rPr>
        <w:t>3</w:t>
      </w:r>
      <w:r w:rsidR="00A920A9">
        <w:rPr>
          <w:rFonts w:ascii="Times New Roman" w:hAnsi="Times New Roman" w:cs="Times New Roman"/>
          <w:sz w:val="24"/>
          <w:szCs w:val="24"/>
        </w:rPr>
        <w:t>c</w:t>
      </w:r>
      <w:r w:rsidR="008972BD" w:rsidRPr="00062C20">
        <w:rPr>
          <w:rFonts w:ascii="Times New Roman" w:hAnsi="Times New Roman" w:cs="Times New Roman"/>
          <w:sz w:val="24"/>
          <w:szCs w:val="24"/>
        </w:rPr>
        <w:t>)</w:t>
      </w:r>
      <w:r w:rsidR="00E419A4" w:rsidRPr="00062C20">
        <w:rPr>
          <w:rFonts w:ascii="Times New Roman" w:hAnsi="Times New Roman" w:cs="Times New Roman"/>
          <w:sz w:val="24"/>
          <w:szCs w:val="24"/>
        </w:rPr>
        <w:t xml:space="preserve"> was plotted in the concentration </w:t>
      </w:r>
      <w:r w:rsidR="00943AB1" w:rsidRPr="00062C20">
        <w:rPr>
          <w:rFonts w:ascii="Times New Roman" w:hAnsi="Times New Roman" w:cs="Times New Roman"/>
          <w:sz w:val="24"/>
          <w:szCs w:val="24"/>
        </w:rPr>
        <w:t>range</w:t>
      </w:r>
      <w:r w:rsidR="00E419A4" w:rsidRPr="00062C20">
        <w:rPr>
          <w:rFonts w:ascii="Times New Roman" w:hAnsi="Times New Roman" w:cs="Times New Roman"/>
          <w:sz w:val="24"/>
          <w:szCs w:val="24"/>
        </w:rPr>
        <w:t xml:space="preserve"> between </w:t>
      </w:r>
      <w:r w:rsidR="00F20612">
        <w:rPr>
          <w:rFonts w:ascii="Times New Roman" w:hAnsi="Times New Roman" w:cs="Times New Roman"/>
          <w:sz w:val="24"/>
          <w:szCs w:val="24"/>
        </w:rPr>
        <w:t>1-8 mg/ml</w:t>
      </w:r>
      <w:r w:rsidR="00E419A4" w:rsidRPr="00062C20">
        <w:rPr>
          <w:rFonts w:ascii="Times New Roman" w:hAnsi="Times New Roman" w:cs="Times New Roman"/>
          <w:sz w:val="24"/>
          <w:szCs w:val="24"/>
        </w:rPr>
        <w:t xml:space="preserve"> in blood, urine</w:t>
      </w:r>
      <w:r w:rsidR="00943AB1" w:rsidRPr="00062C20">
        <w:rPr>
          <w:rFonts w:ascii="Times New Roman" w:hAnsi="Times New Roman" w:cs="Times New Roman"/>
          <w:sz w:val="24"/>
          <w:szCs w:val="24"/>
        </w:rPr>
        <w:t>,</w:t>
      </w:r>
      <w:r w:rsidR="00E419A4" w:rsidRPr="00062C20">
        <w:rPr>
          <w:rFonts w:ascii="Times New Roman" w:hAnsi="Times New Roman" w:cs="Times New Roman"/>
          <w:sz w:val="24"/>
          <w:szCs w:val="24"/>
        </w:rPr>
        <w:t xml:space="preserve"> and pill samples. Additionally, t</w:t>
      </w:r>
      <w:r w:rsidR="00255EA3" w:rsidRPr="00062C20">
        <w:rPr>
          <w:rFonts w:ascii="Times New Roman" w:hAnsi="Times New Roman" w:cs="Times New Roman"/>
          <w:sz w:val="24"/>
          <w:szCs w:val="24"/>
        </w:rPr>
        <w:t>he accuracy</w:t>
      </w:r>
      <w:r w:rsidR="00885061" w:rsidRPr="00062C20">
        <w:rPr>
          <w:rFonts w:ascii="Times New Roman" w:hAnsi="Times New Roman" w:cs="Times New Roman"/>
          <w:sz w:val="24"/>
          <w:szCs w:val="24"/>
        </w:rPr>
        <w:t xml:space="preserve">, precision (intraday and </w:t>
      </w:r>
      <w:proofErr w:type="spellStart"/>
      <w:r w:rsidR="00885061" w:rsidRPr="00062C20">
        <w:rPr>
          <w:rFonts w:ascii="Times New Roman" w:hAnsi="Times New Roman" w:cs="Times New Roman"/>
          <w:sz w:val="24"/>
          <w:szCs w:val="24"/>
        </w:rPr>
        <w:t>interday</w:t>
      </w:r>
      <w:proofErr w:type="spellEnd"/>
      <w:r w:rsidR="00885061" w:rsidRPr="00062C20">
        <w:rPr>
          <w:rFonts w:ascii="Times New Roman" w:hAnsi="Times New Roman" w:cs="Times New Roman"/>
          <w:sz w:val="24"/>
          <w:szCs w:val="24"/>
        </w:rPr>
        <w:t xml:space="preserve">), </w:t>
      </w:r>
      <w:r w:rsidR="000B5C67">
        <w:rPr>
          <w:rFonts w:ascii="Times New Roman" w:hAnsi="Times New Roman" w:cs="Times New Roman"/>
          <w:sz w:val="24"/>
          <w:szCs w:val="24"/>
        </w:rPr>
        <w:t xml:space="preserve">and </w:t>
      </w:r>
      <w:r w:rsidR="00885061" w:rsidRPr="00062C20">
        <w:rPr>
          <w:rFonts w:ascii="Times New Roman" w:hAnsi="Times New Roman" w:cs="Times New Roman"/>
          <w:sz w:val="24"/>
          <w:szCs w:val="24"/>
        </w:rPr>
        <w:t>recovery</w:t>
      </w:r>
      <w:r w:rsidR="000B5C67">
        <w:rPr>
          <w:rFonts w:ascii="Times New Roman" w:hAnsi="Times New Roman" w:cs="Times New Roman"/>
          <w:sz w:val="24"/>
          <w:szCs w:val="24"/>
        </w:rPr>
        <w:t xml:space="preserve"> of the method </w:t>
      </w:r>
      <w:r w:rsidR="00885061" w:rsidRPr="00062C20">
        <w:rPr>
          <w:rFonts w:ascii="Times New Roman" w:hAnsi="Times New Roman" w:cs="Times New Roman"/>
          <w:sz w:val="24"/>
          <w:szCs w:val="24"/>
        </w:rPr>
        <w:t xml:space="preserve">were </w:t>
      </w:r>
      <w:r w:rsidR="008972BD" w:rsidRPr="00062C20">
        <w:rPr>
          <w:rFonts w:ascii="Times New Roman" w:hAnsi="Times New Roman" w:cs="Times New Roman"/>
          <w:sz w:val="24"/>
          <w:szCs w:val="24"/>
        </w:rPr>
        <w:t xml:space="preserve">also </w:t>
      </w:r>
      <w:r w:rsidR="00885061" w:rsidRPr="00062C20">
        <w:rPr>
          <w:rFonts w:ascii="Times New Roman" w:hAnsi="Times New Roman" w:cs="Times New Roman"/>
          <w:sz w:val="24"/>
          <w:szCs w:val="24"/>
        </w:rPr>
        <w:t>calculated as given in the tabl</w:t>
      </w:r>
      <w:r w:rsidR="00CC5B9C">
        <w:rPr>
          <w:rFonts w:ascii="Times New Roman" w:hAnsi="Times New Roman" w:cs="Times New Roman"/>
          <w:sz w:val="24"/>
          <w:szCs w:val="24"/>
        </w:rPr>
        <w:t>e 1.</w:t>
      </w:r>
    </w:p>
    <w:p w14:paraId="614B26B5" w14:textId="77777777" w:rsidR="00593A8C" w:rsidRDefault="00593A8C" w:rsidP="00E97634">
      <w:pPr>
        <w:spacing w:after="0" w:line="360" w:lineRule="auto"/>
        <w:jc w:val="both"/>
        <w:rPr>
          <w:rFonts w:ascii="Times New Roman" w:hAnsi="Times New Roman" w:cs="Times New Roman"/>
          <w:b/>
          <w:bCs/>
          <w:sz w:val="24"/>
          <w:szCs w:val="24"/>
          <w:lang w:val="en-IN"/>
        </w:rPr>
      </w:pPr>
    </w:p>
    <w:p w14:paraId="1641503B" w14:textId="69C0B873" w:rsidR="00CC5B9C" w:rsidRPr="00CC5B9C" w:rsidRDefault="00CC5B9C" w:rsidP="00C8496B">
      <w:pPr>
        <w:spacing w:after="0" w:line="360" w:lineRule="auto"/>
        <w:jc w:val="center"/>
        <w:rPr>
          <w:rFonts w:ascii="Times New Roman" w:hAnsi="Times New Roman" w:cs="Times New Roman"/>
          <w:bCs/>
          <w:sz w:val="24"/>
          <w:szCs w:val="24"/>
          <w:lang w:val="en-IN"/>
        </w:rPr>
      </w:pPr>
      <w:r w:rsidRPr="00CC5B9C">
        <w:rPr>
          <w:rFonts w:ascii="Times New Roman" w:hAnsi="Times New Roman" w:cs="Times New Roman"/>
          <w:bCs/>
          <w:sz w:val="24"/>
          <w:szCs w:val="24"/>
          <w:lang w:val="en-IN"/>
        </w:rPr>
        <w:t>Table 1:</w:t>
      </w:r>
      <w:r>
        <w:rPr>
          <w:rFonts w:ascii="Times New Roman" w:hAnsi="Times New Roman" w:cs="Times New Roman"/>
          <w:bCs/>
          <w:sz w:val="24"/>
          <w:szCs w:val="24"/>
          <w:lang w:val="en-IN"/>
        </w:rPr>
        <w:t xml:space="preserve"> Validation of the developed methodology for RSP in blood, urine, and pill samples.</w:t>
      </w:r>
    </w:p>
    <w:p w14:paraId="0538956F" w14:textId="77777777" w:rsidR="00CC5B9C" w:rsidRPr="00062C20" w:rsidRDefault="00CC5B9C" w:rsidP="00E97634">
      <w:pPr>
        <w:spacing w:after="0" w:line="360" w:lineRule="auto"/>
        <w:jc w:val="both"/>
        <w:rPr>
          <w:rFonts w:ascii="Times New Roman" w:hAnsi="Times New Roman" w:cs="Times New Roman"/>
          <w:b/>
          <w:bCs/>
          <w:sz w:val="24"/>
          <w:szCs w:val="24"/>
          <w:lang w:val="en-IN"/>
        </w:rPr>
      </w:pPr>
    </w:p>
    <w:tbl>
      <w:tblPr>
        <w:tblStyle w:val="TableGrid"/>
        <w:tblW w:w="9962" w:type="dxa"/>
        <w:jc w:val="center"/>
        <w:tblLook w:val="04A0" w:firstRow="1" w:lastRow="0" w:firstColumn="1" w:lastColumn="0" w:noHBand="0" w:noVBand="1"/>
      </w:tblPr>
      <w:tblGrid>
        <w:gridCol w:w="813"/>
        <w:gridCol w:w="688"/>
        <w:gridCol w:w="624"/>
        <w:gridCol w:w="688"/>
        <w:gridCol w:w="681"/>
        <w:gridCol w:w="1096"/>
        <w:gridCol w:w="755"/>
        <w:gridCol w:w="887"/>
        <w:gridCol w:w="969"/>
        <w:gridCol w:w="929"/>
        <w:gridCol w:w="946"/>
        <w:gridCol w:w="886"/>
      </w:tblGrid>
      <w:tr w:rsidR="00977C56" w:rsidRPr="00525124" w14:paraId="3FC5B216" w14:textId="62910DF1" w:rsidTr="00977C56">
        <w:trPr>
          <w:trHeight w:val="134"/>
          <w:jc w:val="center"/>
        </w:trPr>
        <w:tc>
          <w:tcPr>
            <w:tcW w:w="814" w:type="dxa"/>
            <w:vMerge w:val="restart"/>
            <w:vAlign w:val="center"/>
          </w:tcPr>
          <w:p w14:paraId="0DE7159B" w14:textId="7B299E17" w:rsidR="007A2807" w:rsidRPr="00525124" w:rsidRDefault="007A2807" w:rsidP="00977C56">
            <w:pPr>
              <w:spacing w:line="360" w:lineRule="auto"/>
              <w:jc w:val="center"/>
              <w:rPr>
                <w:rFonts w:ascii="Times New Roman" w:hAnsi="Times New Roman" w:cs="Times New Roman"/>
                <w:b/>
                <w:bCs/>
                <w:sz w:val="18"/>
                <w:szCs w:val="18"/>
                <w:lang w:val="en-IN"/>
              </w:rPr>
            </w:pPr>
            <w:r w:rsidRPr="00525124">
              <w:rPr>
                <w:rFonts w:ascii="Times New Roman" w:hAnsi="Times New Roman" w:cs="Times New Roman"/>
                <w:b/>
                <w:bCs/>
                <w:sz w:val="18"/>
                <w:szCs w:val="18"/>
                <w:lang w:val="en-IN"/>
              </w:rPr>
              <w:t>Sample</w:t>
            </w:r>
          </w:p>
        </w:tc>
        <w:tc>
          <w:tcPr>
            <w:tcW w:w="1313" w:type="dxa"/>
            <w:gridSpan w:val="2"/>
            <w:vMerge w:val="restart"/>
            <w:vAlign w:val="center"/>
          </w:tcPr>
          <w:p w14:paraId="7EA0EC4E" w14:textId="45D78CCE" w:rsidR="007A2807" w:rsidRPr="00525124" w:rsidRDefault="007A2807" w:rsidP="00977C56">
            <w:pPr>
              <w:spacing w:line="360" w:lineRule="auto"/>
              <w:jc w:val="center"/>
              <w:rPr>
                <w:rFonts w:ascii="Times New Roman" w:hAnsi="Times New Roman" w:cs="Times New Roman"/>
                <w:b/>
                <w:bCs/>
                <w:sz w:val="18"/>
                <w:szCs w:val="18"/>
                <w:lang w:val="en-IN"/>
              </w:rPr>
            </w:pPr>
            <w:r w:rsidRPr="00525124">
              <w:rPr>
                <w:rFonts w:ascii="Times New Roman" w:hAnsi="Times New Roman" w:cs="Times New Roman"/>
                <w:b/>
                <w:bCs/>
                <w:sz w:val="18"/>
                <w:szCs w:val="18"/>
                <w:lang w:val="en-IN"/>
              </w:rPr>
              <w:t>LOD</w:t>
            </w:r>
          </w:p>
        </w:tc>
        <w:tc>
          <w:tcPr>
            <w:tcW w:w="1371" w:type="dxa"/>
            <w:gridSpan w:val="2"/>
            <w:vMerge w:val="restart"/>
            <w:vAlign w:val="center"/>
          </w:tcPr>
          <w:p w14:paraId="6C41B6B4" w14:textId="748304E4" w:rsidR="007A2807" w:rsidRPr="00525124" w:rsidRDefault="007A2807" w:rsidP="00977C56">
            <w:pPr>
              <w:spacing w:line="360" w:lineRule="auto"/>
              <w:jc w:val="center"/>
              <w:rPr>
                <w:rFonts w:ascii="Times New Roman" w:hAnsi="Times New Roman" w:cs="Times New Roman"/>
                <w:b/>
                <w:bCs/>
                <w:sz w:val="18"/>
                <w:szCs w:val="18"/>
                <w:lang w:val="en-IN"/>
              </w:rPr>
            </w:pPr>
            <w:r w:rsidRPr="00525124">
              <w:rPr>
                <w:rFonts w:ascii="Times New Roman" w:hAnsi="Times New Roman" w:cs="Times New Roman"/>
                <w:b/>
                <w:bCs/>
                <w:sz w:val="18"/>
                <w:szCs w:val="18"/>
                <w:lang w:val="en-IN"/>
              </w:rPr>
              <w:t>LOQ</w:t>
            </w:r>
          </w:p>
        </w:tc>
        <w:tc>
          <w:tcPr>
            <w:tcW w:w="1098" w:type="dxa"/>
            <w:vMerge w:val="restart"/>
            <w:vAlign w:val="center"/>
          </w:tcPr>
          <w:p w14:paraId="300B12CC" w14:textId="41938553" w:rsidR="007A2807" w:rsidRPr="00525124" w:rsidRDefault="007A2807" w:rsidP="00977C56">
            <w:pPr>
              <w:spacing w:line="360" w:lineRule="auto"/>
              <w:jc w:val="center"/>
              <w:rPr>
                <w:rFonts w:ascii="Times New Roman" w:hAnsi="Times New Roman" w:cs="Times New Roman"/>
                <w:b/>
                <w:bCs/>
                <w:sz w:val="18"/>
                <w:szCs w:val="18"/>
                <w:lang w:val="en-IN"/>
              </w:rPr>
            </w:pPr>
            <w:r w:rsidRPr="00525124">
              <w:rPr>
                <w:rFonts w:ascii="Times New Roman" w:hAnsi="Times New Roman" w:cs="Times New Roman"/>
                <w:b/>
                <w:bCs/>
                <w:sz w:val="18"/>
                <w:szCs w:val="18"/>
                <w:lang w:val="en-IN"/>
              </w:rPr>
              <w:t>Linearity</w:t>
            </w:r>
          </w:p>
        </w:tc>
        <w:tc>
          <w:tcPr>
            <w:tcW w:w="757" w:type="dxa"/>
            <w:vMerge w:val="restart"/>
            <w:vAlign w:val="center"/>
          </w:tcPr>
          <w:p w14:paraId="33DCFC3E" w14:textId="6BA0175B" w:rsidR="007A2807" w:rsidRPr="00525124" w:rsidRDefault="007A2807" w:rsidP="00977C56">
            <w:pPr>
              <w:spacing w:line="360" w:lineRule="auto"/>
              <w:jc w:val="center"/>
              <w:rPr>
                <w:rFonts w:ascii="Times New Roman" w:hAnsi="Times New Roman" w:cs="Times New Roman"/>
                <w:b/>
                <w:bCs/>
                <w:sz w:val="18"/>
                <w:szCs w:val="18"/>
                <w:lang w:val="en-IN"/>
              </w:rPr>
            </w:pPr>
            <w:r w:rsidRPr="00525124">
              <w:rPr>
                <w:rFonts w:ascii="Times New Roman" w:hAnsi="Times New Roman" w:cs="Times New Roman"/>
                <w:b/>
                <w:bCs/>
                <w:sz w:val="18"/>
                <w:szCs w:val="18"/>
                <w:lang w:val="en-IN"/>
              </w:rPr>
              <w:t>R</w:t>
            </w:r>
            <w:r w:rsidRPr="00525124">
              <w:rPr>
                <w:rFonts w:ascii="Times New Roman" w:hAnsi="Times New Roman" w:cs="Times New Roman"/>
                <w:b/>
                <w:bCs/>
                <w:sz w:val="18"/>
                <w:szCs w:val="18"/>
                <w:vertAlign w:val="superscript"/>
                <w:lang w:val="en-IN"/>
              </w:rPr>
              <w:t>2</w:t>
            </w:r>
            <w:r w:rsidRPr="00525124">
              <w:rPr>
                <w:rFonts w:ascii="Times New Roman" w:hAnsi="Times New Roman" w:cs="Times New Roman"/>
                <w:b/>
                <w:bCs/>
                <w:sz w:val="18"/>
                <w:szCs w:val="18"/>
                <w:lang w:val="en-IN"/>
              </w:rPr>
              <w:t xml:space="preserve"> value</w:t>
            </w:r>
          </w:p>
        </w:tc>
        <w:tc>
          <w:tcPr>
            <w:tcW w:w="888" w:type="dxa"/>
            <w:vMerge w:val="restart"/>
            <w:vAlign w:val="center"/>
          </w:tcPr>
          <w:p w14:paraId="31862A21" w14:textId="73DA2B47" w:rsidR="007A2807" w:rsidRPr="00525124" w:rsidRDefault="00A979F4" w:rsidP="00977C56">
            <w:pPr>
              <w:spacing w:line="360" w:lineRule="auto"/>
              <w:jc w:val="center"/>
              <w:rPr>
                <w:rFonts w:ascii="Times New Roman" w:hAnsi="Times New Roman" w:cs="Times New Roman"/>
                <w:b/>
                <w:bCs/>
                <w:sz w:val="18"/>
                <w:szCs w:val="18"/>
                <w:lang w:val="en-IN"/>
              </w:rPr>
            </w:pPr>
            <w:r w:rsidRPr="00525124">
              <w:rPr>
                <w:rFonts w:ascii="Times New Roman" w:hAnsi="Times New Roman" w:cs="Times New Roman"/>
                <w:b/>
                <w:bCs/>
                <w:sz w:val="18"/>
                <w:szCs w:val="18"/>
                <w:lang w:val="en-IN"/>
              </w:rPr>
              <w:t>Conc.</w:t>
            </w:r>
            <w:r w:rsidR="00D37D47">
              <w:rPr>
                <w:rFonts w:ascii="Times New Roman" w:hAnsi="Times New Roman" w:cs="Times New Roman"/>
                <w:b/>
                <w:bCs/>
                <w:sz w:val="18"/>
                <w:szCs w:val="18"/>
                <w:lang w:val="en-IN"/>
              </w:rPr>
              <w:t xml:space="preserve"> (mg/ml)</w:t>
            </w:r>
          </w:p>
        </w:tc>
        <w:tc>
          <w:tcPr>
            <w:tcW w:w="1900" w:type="dxa"/>
            <w:gridSpan w:val="2"/>
            <w:vAlign w:val="center"/>
          </w:tcPr>
          <w:p w14:paraId="08F71813" w14:textId="36B4D584" w:rsidR="007A2807" w:rsidRPr="00525124" w:rsidRDefault="007A2807" w:rsidP="00977C56">
            <w:pPr>
              <w:spacing w:line="360" w:lineRule="auto"/>
              <w:jc w:val="center"/>
              <w:rPr>
                <w:rFonts w:ascii="Times New Roman" w:hAnsi="Times New Roman" w:cs="Times New Roman"/>
                <w:b/>
                <w:bCs/>
                <w:sz w:val="18"/>
                <w:szCs w:val="18"/>
                <w:lang w:val="en-IN"/>
              </w:rPr>
            </w:pPr>
            <w:r w:rsidRPr="00525124">
              <w:rPr>
                <w:rFonts w:ascii="Times New Roman" w:hAnsi="Times New Roman" w:cs="Times New Roman"/>
                <w:b/>
                <w:bCs/>
                <w:sz w:val="18"/>
                <w:szCs w:val="18"/>
                <w:lang w:val="en-IN"/>
              </w:rPr>
              <w:t>Precision</w:t>
            </w:r>
          </w:p>
        </w:tc>
        <w:tc>
          <w:tcPr>
            <w:tcW w:w="937" w:type="dxa"/>
            <w:vMerge w:val="restart"/>
            <w:vAlign w:val="center"/>
          </w:tcPr>
          <w:p w14:paraId="4B8B9176" w14:textId="3CD66BEC" w:rsidR="007A2807" w:rsidRPr="00525124" w:rsidRDefault="007A2807" w:rsidP="00977C56">
            <w:pPr>
              <w:spacing w:line="360" w:lineRule="auto"/>
              <w:jc w:val="center"/>
              <w:rPr>
                <w:rFonts w:ascii="Times New Roman" w:hAnsi="Times New Roman" w:cs="Times New Roman"/>
                <w:b/>
                <w:bCs/>
                <w:sz w:val="18"/>
                <w:szCs w:val="18"/>
                <w:lang w:val="en-IN"/>
              </w:rPr>
            </w:pPr>
            <w:r w:rsidRPr="00525124">
              <w:rPr>
                <w:rFonts w:ascii="Times New Roman" w:hAnsi="Times New Roman" w:cs="Times New Roman"/>
                <w:b/>
                <w:bCs/>
                <w:sz w:val="18"/>
                <w:szCs w:val="18"/>
                <w:lang w:val="en-IN"/>
              </w:rPr>
              <w:t>Accuracy</w:t>
            </w:r>
          </w:p>
        </w:tc>
        <w:tc>
          <w:tcPr>
            <w:tcW w:w="884" w:type="dxa"/>
            <w:vMerge w:val="restart"/>
            <w:vAlign w:val="center"/>
          </w:tcPr>
          <w:p w14:paraId="12B6CE92" w14:textId="4EEEDDF9" w:rsidR="007A2807" w:rsidRPr="00525124" w:rsidRDefault="007A2807" w:rsidP="00977C56">
            <w:pPr>
              <w:spacing w:line="360" w:lineRule="auto"/>
              <w:jc w:val="center"/>
              <w:rPr>
                <w:rFonts w:ascii="Times New Roman" w:hAnsi="Times New Roman" w:cs="Times New Roman"/>
                <w:b/>
                <w:bCs/>
                <w:sz w:val="18"/>
                <w:szCs w:val="18"/>
                <w:lang w:val="en-IN"/>
              </w:rPr>
            </w:pPr>
            <w:r w:rsidRPr="00525124">
              <w:rPr>
                <w:rFonts w:ascii="Times New Roman" w:hAnsi="Times New Roman" w:cs="Times New Roman"/>
                <w:b/>
                <w:bCs/>
                <w:sz w:val="18"/>
                <w:szCs w:val="18"/>
                <w:lang w:val="en-IN"/>
              </w:rPr>
              <w:t>Relative recovery</w:t>
            </w:r>
          </w:p>
        </w:tc>
      </w:tr>
      <w:tr w:rsidR="00E24F08" w:rsidRPr="00525124" w14:paraId="36C8AABE" w14:textId="77777777" w:rsidTr="00E24F08">
        <w:trPr>
          <w:trHeight w:val="50"/>
          <w:jc w:val="center"/>
        </w:trPr>
        <w:tc>
          <w:tcPr>
            <w:tcW w:w="814" w:type="dxa"/>
            <w:vMerge/>
            <w:vAlign w:val="center"/>
          </w:tcPr>
          <w:p w14:paraId="6BE80BB0"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c>
          <w:tcPr>
            <w:tcW w:w="1313" w:type="dxa"/>
            <w:gridSpan w:val="2"/>
            <w:vMerge/>
            <w:vAlign w:val="center"/>
          </w:tcPr>
          <w:p w14:paraId="40155746"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c>
          <w:tcPr>
            <w:tcW w:w="1371" w:type="dxa"/>
            <w:gridSpan w:val="2"/>
            <w:vMerge/>
            <w:vAlign w:val="center"/>
          </w:tcPr>
          <w:p w14:paraId="0DC1E77C"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c>
          <w:tcPr>
            <w:tcW w:w="1098" w:type="dxa"/>
            <w:vMerge/>
            <w:vAlign w:val="center"/>
          </w:tcPr>
          <w:p w14:paraId="62DA255C"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c>
          <w:tcPr>
            <w:tcW w:w="757" w:type="dxa"/>
            <w:vMerge/>
            <w:vAlign w:val="center"/>
          </w:tcPr>
          <w:p w14:paraId="65D825CB"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c>
          <w:tcPr>
            <w:tcW w:w="888" w:type="dxa"/>
            <w:vMerge/>
            <w:tcBorders>
              <w:bottom w:val="single" w:sz="4" w:space="0" w:color="auto"/>
            </w:tcBorders>
            <w:vAlign w:val="center"/>
          </w:tcPr>
          <w:p w14:paraId="5732F150"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c>
          <w:tcPr>
            <w:tcW w:w="970" w:type="dxa"/>
            <w:tcBorders>
              <w:bottom w:val="single" w:sz="4" w:space="0" w:color="auto"/>
            </w:tcBorders>
            <w:vAlign w:val="center"/>
          </w:tcPr>
          <w:p w14:paraId="4652B5AF" w14:textId="73532B9F" w:rsidR="007A2807" w:rsidRPr="00525124" w:rsidRDefault="007A2807" w:rsidP="00977C56">
            <w:pPr>
              <w:spacing w:line="360" w:lineRule="auto"/>
              <w:jc w:val="center"/>
              <w:rPr>
                <w:rFonts w:ascii="Times New Roman" w:hAnsi="Times New Roman" w:cs="Times New Roman"/>
                <w:b/>
                <w:bCs/>
                <w:sz w:val="18"/>
                <w:szCs w:val="18"/>
                <w:lang w:val="en-IN"/>
              </w:rPr>
            </w:pPr>
            <w:r w:rsidRPr="00525124">
              <w:rPr>
                <w:rFonts w:ascii="Times New Roman" w:hAnsi="Times New Roman" w:cs="Times New Roman"/>
                <w:b/>
                <w:bCs/>
                <w:sz w:val="18"/>
                <w:szCs w:val="18"/>
                <w:lang w:val="en-IN"/>
              </w:rPr>
              <w:t>Intraday</w:t>
            </w:r>
          </w:p>
        </w:tc>
        <w:tc>
          <w:tcPr>
            <w:tcW w:w="930" w:type="dxa"/>
            <w:tcBorders>
              <w:bottom w:val="single" w:sz="4" w:space="0" w:color="auto"/>
            </w:tcBorders>
            <w:vAlign w:val="center"/>
          </w:tcPr>
          <w:p w14:paraId="302EC1C0" w14:textId="3503AD79" w:rsidR="007A2807" w:rsidRPr="00525124" w:rsidRDefault="007A2807" w:rsidP="00977C56">
            <w:pPr>
              <w:spacing w:line="360" w:lineRule="auto"/>
              <w:jc w:val="center"/>
              <w:rPr>
                <w:rFonts w:ascii="Times New Roman" w:hAnsi="Times New Roman" w:cs="Times New Roman"/>
                <w:b/>
                <w:bCs/>
                <w:sz w:val="18"/>
                <w:szCs w:val="18"/>
                <w:lang w:val="en-IN"/>
              </w:rPr>
            </w:pPr>
            <w:proofErr w:type="spellStart"/>
            <w:r w:rsidRPr="00525124">
              <w:rPr>
                <w:rFonts w:ascii="Times New Roman" w:hAnsi="Times New Roman" w:cs="Times New Roman"/>
                <w:b/>
                <w:bCs/>
                <w:sz w:val="18"/>
                <w:szCs w:val="18"/>
                <w:lang w:val="en-IN"/>
              </w:rPr>
              <w:t>Interday</w:t>
            </w:r>
            <w:proofErr w:type="spellEnd"/>
          </w:p>
        </w:tc>
        <w:tc>
          <w:tcPr>
            <w:tcW w:w="937" w:type="dxa"/>
            <w:vMerge/>
            <w:tcBorders>
              <w:bottom w:val="single" w:sz="4" w:space="0" w:color="auto"/>
            </w:tcBorders>
            <w:vAlign w:val="center"/>
          </w:tcPr>
          <w:p w14:paraId="0CCBB6E6"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c>
          <w:tcPr>
            <w:tcW w:w="884" w:type="dxa"/>
            <w:vMerge/>
            <w:vAlign w:val="center"/>
          </w:tcPr>
          <w:p w14:paraId="7E34485A"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r>
      <w:tr w:rsidR="00D37D47" w:rsidRPr="00525124" w14:paraId="19DACC44" w14:textId="716FD6F1" w:rsidTr="00E24F08">
        <w:trPr>
          <w:trHeight w:val="402"/>
          <w:jc w:val="center"/>
        </w:trPr>
        <w:tc>
          <w:tcPr>
            <w:tcW w:w="814" w:type="dxa"/>
            <w:vMerge w:val="restart"/>
            <w:vAlign w:val="center"/>
          </w:tcPr>
          <w:p w14:paraId="1E4DCE7C" w14:textId="0DC79B7F" w:rsidR="007A2807" w:rsidRPr="00525124" w:rsidRDefault="007A2807" w:rsidP="00977C56">
            <w:pPr>
              <w:spacing w:line="360" w:lineRule="auto"/>
              <w:jc w:val="center"/>
              <w:rPr>
                <w:rFonts w:ascii="Times New Roman" w:hAnsi="Times New Roman" w:cs="Times New Roman"/>
                <w:b/>
                <w:bCs/>
                <w:sz w:val="18"/>
                <w:szCs w:val="18"/>
                <w:lang w:val="en-IN"/>
              </w:rPr>
            </w:pPr>
            <w:r w:rsidRPr="00525124">
              <w:rPr>
                <w:rFonts w:ascii="Times New Roman" w:hAnsi="Times New Roman" w:cs="Times New Roman"/>
                <w:b/>
                <w:bCs/>
                <w:sz w:val="18"/>
                <w:szCs w:val="18"/>
                <w:lang w:val="en-IN"/>
              </w:rPr>
              <w:t>Blood</w:t>
            </w:r>
          </w:p>
        </w:tc>
        <w:tc>
          <w:tcPr>
            <w:tcW w:w="688" w:type="dxa"/>
            <w:vMerge w:val="restart"/>
            <w:vAlign w:val="center"/>
          </w:tcPr>
          <w:p w14:paraId="29F73261" w14:textId="058ABBDE" w:rsidR="007A2807" w:rsidRPr="00525124" w:rsidRDefault="00A979F4"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lang w:val="en-IN"/>
              </w:rPr>
              <w:t>0.5 mg/ml</w:t>
            </w:r>
          </w:p>
        </w:tc>
        <w:tc>
          <w:tcPr>
            <w:tcW w:w="625" w:type="dxa"/>
            <w:vMerge w:val="restart"/>
            <w:vAlign w:val="center"/>
          </w:tcPr>
          <w:p w14:paraId="0B548A15" w14:textId="65CB0316" w:rsidR="007A2807" w:rsidRPr="00525124" w:rsidRDefault="00A979F4"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lang w:val="en-IN"/>
              </w:rPr>
              <w:t>0.18</w:t>
            </w:r>
          </w:p>
        </w:tc>
        <w:tc>
          <w:tcPr>
            <w:tcW w:w="688" w:type="dxa"/>
            <w:vMerge w:val="restart"/>
            <w:vAlign w:val="center"/>
          </w:tcPr>
          <w:p w14:paraId="45420F1C" w14:textId="1F75BC5A" w:rsidR="007A2807" w:rsidRPr="00525124" w:rsidRDefault="00A979F4"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lang w:val="en-IN"/>
              </w:rPr>
              <w:t>1 mg/ml</w:t>
            </w:r>
          </w:p>
        </w:tc>
        <w:tc>
          <w:tcPr>
            <w:tcW w:w="683" w:type="dxa"/>
            <w:vMerge w:val="restart"/>
            <w:vAlign w:val="center"/>
          </w:tcPr>
          <w:p w14:paraId="124A89F4" w14:textId="38425A81" w:rsidR="007A2807" w:rsidRPr="00525124" w:rsidRDefault="00A979F4"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lang w:val="en-IN"/>
              </w:rPr>
              <w:t>1.00</w:t>
            </w:r>
          </w:p>
        </w:tc>
        <w:tc>
          <w:tcPr>
            <w:tcW w:w="1098" w:type="dxa"/>
            <w:vMerge w:val="restart"/>
            <w:vAlign w:val="center"/>
          </w:tcPr>
          <w:p w14:paraId="509B14E1" w14:textId="0D2E9914" w:rsidR="007A2807" w:rsidRPr="00525124" w:rsidRDefault="00F8122B"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lang w:val="en-IN"/>
              </w:rPr>
              <w:t>y = 2233.3x</w:t>
            </w:r>
          </w:p>
        </w:tc>
        <w:tc>
          <w:tcPr>
            <w:tcW w:w="757" w:type="dxa"/>
            <w:vMerge w:val="restart"/>
            <w:vAlign w:val="center"/>
          </w:tcPr>
          <w:p w14:paraId="687CE144" w14:textId="6E5C34DA" w:rsidR="007A2807" w:rsidRPr="00525124" w:rsidRDefault="00F8122B"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lang w:val="en-IN"/>
              </w:rPr>
              <w:t>0.995</w:t>
            </w:r>
          </w:p>
        </w:tc>
        <w:tc>
          <w:tcPr>
            <w:tcW w:w="888" w:type="dxa"/>
            <w:tcBorders>
              <w:bottom w:val="nil"/>
            </w:tcBorders>
            <w:vAlign w:val="center"/>
          </w:tcPr>
          <w:p w14:paraId="046CC307" w14:textId="0EC5F044" w:rsidR="007A2807" w:rsidRPr="00D37D47" w:rsidRDefault="00D37D47" w:rsidP="00977C56">
            <w:pPr>
              <w:spacing w:line="360" w:lineRule="auto"/>
              <w:jc w:val="center"/>
              <w:rPr>
                <w:rFonts w:ascii="Times New Roman" w:hAnsi="Times New Roman" w:cs="Times New Roman"/>
                <w:sz w:val="18"/>
                <w:szCs w:val="18"/>
                <w:lang w:val="en-IN"/>
              </w:rPr>
            </w:pPr>
            <w:r w:rsidRPr="00D37D47">
              <w:rPr>
                <w:rFonts w:ascii="Times New Roman" w:hAnsi="Times New Roman" w:cs="Times New Roman"/>
                <w:sz w:val="18"/>
                <w:szCs w:val="18"/>
                <w:lang w:val="en-IN"/>
              </w:rPr>
              <w:t xml:space="preserve">2 </w:t>
            </w:r>
          </w:p>
        </w:tc>
        <w:tc>
          <w:tcPr>
            <w:tcW w:w="970" w:type="dxa"/>
            <w:tcBorders>
              <w:bottom w:val="nil"/>
            </w:tcBorders>
            <w:vAlign w:val="center"/>
          </w:tcPr>
          <w:p w14:paraId="17D12B40" w14:textId="6DA8CBA4" w:rsidR="007A2807" w:rsidRPr="00CC5B9C" w:rsidRDefault="00CC5B9C" w:rsidP="00977C56">
            <w:pPr>
              <w:spacing w:line="360" w:lineRule="auto"/>
              <w:jc w:val="center"/>
              <w:rPr>
                <w:rFonts w:ascii="Times New Roman" w:hAnsi="Times New Roman" w:cs="Times New Roman"/>
                <w:sz w:val="18"/>
                <w:szCs w:val="18"/>
                <w:lang w:val="en-IN"/>
              </w:rPr>
            </w:pPr>
            <w:r w:rsidRPr="00CC5B9C">
              <w:rPr>
                <w:rFonts w:ascii="Times New Roman" w:hAnsi="Times New Roman" w:cs="Times New Roman"/>
                <w:sz w:val="18"/>
                <w:szCs w:val="18"/>
                <w:lang w:val="en-IN"/>
              </w:rPr>
              <w:t>4.34</w:t>
            </w:r>
          </w:p>
        </w:tc>
        <w:tc>
          <w:tcPr>
            <w:tcW w:w="930" w:type="dxa"/>
            <w:tcBorders>
              <w:bottom w:val="nil"/>
            </w:tcBorders>
            <w:vAlign w:val="center"/>
          </w:tcPr>
          <w:p w14:paraId="1FAD131B" w14:textId="5F1E0948" w:rsidR="007A2807" w:rsidRPr="00CC5B9C" w:rsidRDefault="00CC5B9C" w:rsidP="00977C56">
            <w:pPr>
              <w:spacing w:line="360" w:lineRule="auto"/>
              <w:jc w:val="center"/>
              <w:rPr>
                <w:rFonts w:ascii="Times New Roman" w:hAnsi="Times New Roman" w:cs="Times New Roman"/>
                <w:sz w:val="18"/>
                <w:szCs w:val="18"/>
                <w:lang w:val="en-IN"/>
              </w:rPr>
            </w:pPr>
            <w:r w:rsidRPr="00CC5B9C">
              <w:rPr>
                <w:rFonts w:ascii="Times New Roman" w:hAnsi="Times New Roman" w:cs="Times New Roman"/>
                <w:sz w:val="18"/>
                <w:szCs w:val="18"/>
                <w:lang w:val="en-IN"/>
              </w:rPr>
              <w:t>7.87</w:t>
            </w:r>
          </w:p>
        </w:tc>
        <w:tc>
          <w:tcPr>
            <w:tcW w:w="937" w:type="dxa"/>
            <w:tcBorders>
              <w:bottom w:val="nil"/>
            </w:tcBorders>
            <w:vAlign w:val="center"/>
          </w:tcPr>
          <w:p w14:paraId="0570652F" w14:textId="5FE7FA2D" w:rsidR="007A2807" w:rsidRPr="00E07FBC" w:rsidRDefault="00E07FBC" w:rsidP="00977C56">
            <w:pPr>
              <w:spacing w:line="360" w:lineRule="auto"/>
              <w:jc w:val="center"/>
              <w:rPr>
                <w:rFonts w:ascii="Times New Roman" w:hAnsi="Times New Roman" w:cs="Times New Roman"/>
                <w:sz w:val="18"/>
                <w:szCs w:val="18"/>
                <w:lang w:val="en-IN"/>
              </w:rPr>
            </w:pPr>
            <w:r w:rsidRPr="00E07FBC">
              <w:rPr>
                <w:rFonts w:ascii="Times New Roman" w:hAnsi="Times New Roman" w:cs="Times New Roman"/>
                <w:sz w:val="18"/>
                <w:szCs w:val="18"/>
                <w:lang w:val="en-IN"/>
              </w:rPr>
              <w:t>95.96</w:t>
            </w:r>
          </w:p>
        </w:tc>
        <w:tc>
          <w:tcPr>
            <w:tcW w:w="884" w:type="dxa"/>
            <w:vMerge w:val="restart"/>
            <w:vAlign w:val="center"/>
          </w:tcPr>
          <w:p w14:paraId="754E38B4" w14:textId="58C84DAD" w:rsidR="007A2807" w:rsidRPr="00D643BF" w:rsidRDefault="00D643BF" w:rsidP="00977C56">
            <w:pPr>
              <w:spacing w:line="360" w:lineRule="auto"/>
              <w:jc w:val="center"/>
              <w:rPr>
                <w:rFonts w:ascii="Times New Roman" w:hAnsi="Times New Roman" w:cs="Times New Roman"/>
                <w:sz w:val="18"/>
                <w:szCs w:val="18"/>
                <w:lang w:val="en-IN"/>
              </w:rPr>
            </w:pPr>
            <w:r w:rsidRPr="00D643BF">
              <w:rPr>
                <w:rFonts w:ascii="Times New Roman" w:hAnsi="Times New Roman" w:cs="Times New Roman"/>
                <w:sz w:val="18"/>
                <w:szCs w:val="18"/>
                <w:lang w:val="en-IN"/>
              </w:rPr>
              <w:t>165.03</w:t>
            </w:r>
          </w:p>
        </w:tc>
      </w:tr>
      <w:tr w:rsidR="00D37D47" w:rsidRPr="00525124" w14:paraId="4BA6EFBF" w14:textId="77777777" w:rsidTr="00E24F08">
        <w:trPr>
          <w:trHeight w:val="412"/>
          <w:jc w:val="center"/>
        </w:trPr>
        <w:tc>
          <w:tcPr>
            <w:tcW w:w="814" w:type="dxa"/>
            <w:vMerge/>
            <w:vAlign w:val="center"/>
          </w:tcPr>
          <w:p w14:paraId="5272756D"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c>
          <w:tcPr>
            <w:tcW w:w="688" w:type="dxa"/>
            <w:vMerge/>
            <w:vAlign w:val="center"/>
          </w:tcPr>
          <w:p w14:paraId="0C0FB2B0"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c>
          <w:tcPr>
            <w:tcW w:w="625" w:type="dxa"/>
            <w:vMerge/>
            <w:vAlign w:val="center"/>
          </w:tcPr>
          <w:p w14:paraId="5146C67B"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c>
          <w:tcPr>
            <w:tcW w:w="688" w:type="dxa"/>
            <w:vMerge/>
            <w:vAlign w:val="center"/>
          </w:tcPr>
          <w:p w14:paraId="23392D89"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c>
          <w:tcPr>
            <w:tcW w:w="683" w:type="dxa"/>
            <w:vMerge/>
            <w:vAlign w:val="center"/>
          </w:tcPr>
          <w:p w14:paraId="639493DE"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c>
          <w:tcPr>
            <w:tcW w:w="1098" w:type="dxa"/>
            <w:vMerge/>
            <w:tcBorders>
              <w:top w:val="nil"/>
            </w:tcBorders>
            <w:vAlign w:val="center"/>
          </w:tcPr>
          <w:p w14:paraId="55F9A734"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c>
          <w:tcPr>
            <w:tcW w:w="757" w:type="dxa"/>
            <w:vMerge/>
            <w:tcBorders>
              <w:top w:val="nil"/>
            </w:tcBorders>
            <w:vAlign w:val="center"/>
          </w:tcPr>
          <w:p w14:paraId="659063E2"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c>
          <w:tcPr>
            <w:tcW w:w="888" w:type="dxa"/>
            <w:tcBorders>
              <w:top w:val="nil"/>
              <w:bottom w:val="nil"/>
            </w:tcBorders>
            <w:vAlign w:val="center"/>
          </w:tcPr>
          <w:p w14:paraId="3D6C7B08" w14:textId="190830FF" w:rsidR="007A2807" w:rsidRPr="00D37D47" w:rsidRDefault="00D37D47" w:rsidP="00977C56">
            <w:pPr>
              <w:spacing w:line="360" w:lineRule="auto"/>
              <w:jc w:val="center"/>
              <w:rPr>
                <w:rFonts w:ascii="Times New Roman" w:hAnsi="Times New Roman" w:cs="Times New Roman"/>
                <w:sz w:val="18"/>
                <w:szCs w:val="18"/>
                <w:lang w:val="en-IN"/>
              </w:rPr>
            </w:pPr>
            <w:r w:rsidRPr="00D37D47">
              <w:rPr>
                <w:rFonts w:ascii="Times New Roman" w:hAnsi="Times New Roman" w:cs="Times New Roman"/>
                <w:sz w:val="18"/>
                <w:szCs w:val="18"/>
                <w:lang w:val="en-IN"/>
              </w:rPr>
              <w:t>6</w:t>
            </w:r>
          </w:p>
        </w:tc>
        <w:tc>
          <w:tcPr>
            <w:tcW w:w="970" w:type="dxa"/>
            <w:tcBorders>
              <w:top w:val="nil"/>
              <w:bottom w:val="nil"/>
            </w:tcBorders>
            <w:vAlign w:val="center"/>
          </w:tcPr>
          <w:p w14:paraId="77A745AF" w14:textId="20FC0EBA" w:rsidR="007A2807" w:rsidRPr="00CC5B9C" w:rsidRDefault="00CC5B9C" w:rsidP="00977C56">
            <w:pPr>
              <w:spacing w:line="360" w:lineRule="auto"/>
              <w:jc w:val="center"/>
              <w:rPr>
                <w:rFonts w:ascii="Times New Roman" w:hAnsi="Times New Roman" w:cs="Times New Roman"/>
                <w:sz w:val="18"/>
                <w:szCs w:val="18"/>
                <w:lang w:val="en-IN"/>
              </w:rPr>
            </w:pPr>
            <w:r w:rsidRPr="00CC5B9C">
              <w:rPr>
                <w:rFonts w:ascii="Times New Roman" w:hAnsi="Times New Roman" w:cs="Times New Roman"/>
                <w:sz w:val="18"/>
                <w:szCs w:val="18"/>
                <w:lang w:val="en-IN"/>
              </w:rPr>
              <w:t>2.38</w:t>
            </w:r>
          </w:p>
        </w:tc>
        <w:tc>
          <w:tcPr>
            <w:tcW w:w="930" w:type="dxa"/>
            <w:tcBorders>
              <w:top w:val="nil"/>
              <w:bottom w:val="nil"/>
            </w:tcBorders>
            <w:vAlign w:val="center"/>
          </w:tcPr>
          <w:p w14:paraId="4493B517" w14:textId="4BC526C2" w:rsidR="007A2807" w:rsidRPr="00CC5B9C" w:rsidRDefault="00CC5B9C" w:rsidP="00977C56">
            <w:pPr>
              <w:spacing w:line="360" w:lineRule="auto"/>
              <w:jc w:val="center"/>
              <w:rPr>
                <w:rFonts w:ascii="Times New Roman" w:hAnsi="Times New Roman" w:cs="Times New Roman"/>
                <w:sz w:val="18"/>
                <w:szCs w:val="18"/>
                <w:lang w:val="en-IN"/>
              </w:rPr>
            </w:pPr>
            <w:r w:rsidRPr="00CC5B9C">
              <w:rPr>
                <w:rFonts w:ascii="Times New Roman" w:hAnsi="Times New Roman" w:cs="Times New Roman"/>
                <w:sz w:val="18"/>
                <w:szCs w:val="18"/>
                <w:lang w:val="en-IN"/>
              </w:rPr>
              <w:t>4.91</w:t>
            </w:r>
          </w:p>
        </w:tc>
        <w:tc>
          <w:tcPr>
            <w:tcW w:w="937" w:type="dxa"/>
            <w:tcBorders>
              <w:top w:val="nil"/>
              <w:bottom w:val="nil"/>
            </w:tcBorders>
            <w:vAlign w:val="center"/>
          </w:tcPr>
          <w:p w14:paraId="029A28F3" w14:textId="3D7D687A" w:rsidR="007A2807" w:rsidRPr="00E07FBC" w:rsidRDefault="00E07FBC" w:rsidP="00977C56">
            <w:pPr>
              <w:spacing w:line="360" w:lineRule="auto"/>
              <w:jc w:val="center"/>
              <w:rPr>
                <w:rFonts w:ascii="Times New Roman" w:hAnsi="Times New Roman" w:cs="Times New Roman"/>
                <w:sz w:val="18"/>
                <w:szCs w:val="18"/>
                <w:lang w:val="en-IN"/>
              </w:rPr>
            </w:pPr>
            <w:r w:rsidRPr="00E07FBC">
              <w:rPr>
                <w:rFonts w:ascii="Times New Roman" w:hAnsi="Times New Roman" w:cs="Times New Roman"/>
                <w:sz w:val="18"/>
                <w:szCs w:val="18"/>
                <w:lang w:val="en-IN"/>
              </w:rPr>
              <w:t>97.93</w:t>
            </w:r>
          </w:p>
        </w:tc>
        <w:tc>
          <w:tcPr>
            <w:tcW w:w="884" w:type="dxa"/>
            <w:vMerge/>
            <w:vAlign w:val="center"/>
          </w:tcPr>
          <w:p w14:paraId="6F21B15D"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r>
      <w:tr w:rsidR="00D37D47" w:rsidRPr="00525124" w14:paraId="602C638A" w14:textId="77777777" w:rsidTr="00E24F08">
        <w:trPr>
          <w:trHeight w:val="402"/>
          <w:jc w:val="center"/>
        </w:trPr>
        <w:tc>
          <w:tcPr>
            <w:tcW w:w="814" w:type="dxa"/>
            <w:vMerge/>
            <w:vAlign w:val="center"/>
          </w:tcPr>
          <w:p w14:paraId="34A341B6"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c>
          <w:tcPr>
            <w:tcW w:w="688" w:type="dxa"/>
            <w:vMerge/>
            <w:vAlign w:val="center"/>
          </w:tcPr>
          <w:p w14:paraId="761CA008"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c>
          <w:tcPr>
            <w:tcW w:w="625" w:type="dxa"/>
            <w:vMerge/>
            <w:vAlign w:val="center"/>
          </w:tcPr>
          <w:p w14:paraId="43344698"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c>
          <w:tcPr>
            <w:tcW w:w="688" w:type="dxa"/>
            <w:vMerge/>
            <w:vAlign w:val="center"/>
          </w:tcPr>
          <w:p w14:paraId="47852071"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c>
          <w:tcPr>
            <w:tcW w:w="683" w:type="dxa"/>
            <w:vMerge/>
            <w:vAlign w:val="center"/>
          </w:tcPr>
          <w:p w14:paraId="593A661E"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c>
          <w:tcPr>
            <w:tcW w:w="1098" w:type="dxa"/>
            <w:vMerge/>
            <w:vAlign w:val="center"/>
          </w:tcPr>
          <w:p w14:paraId="306C6949"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c>
          <w:tcPr>
            <w:tcW w:w="757" w:type="dxa"/>
            <w:vMerge/>
            <w:vAlign w:val="center"/>
          </w:tcPr>
          <w:p w14:paraId="4A0FEDEF"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c>
          <w:tcPr>
            <w:tcW w:w="888" w:type="dxa"/>
            <w:tcBorders>
              <w:top w:val="nil"/>
              <w:bottom w:val="single" w:sz="4" w:space="0" w:color="auto"/>
            </w:tcBorders>
            <w:vAlign w:val="center"/>
          </w:tcPr>
          <w:p w14:paraId="18136213" w14:textId="68B5D591" w:rsidR="007A2807" w:rsidRPr="00D37D47" w:rsidRDefault="00D37D47" w:rsidP="00977C56">
            <w:pPr>
              <w:spacing w:line="360" w:lineRule="auto"/>
              <w:jc w:val="center"/>
              <w:rPr>
                <w:rFonts w:ascii="Times New Roman" w:hAnsi="Times New Roman" w:cs="Times New Roman"/>
                <w:sz w:val="18"/>
                <w:szCs w:val="18"/>
                <w:lang w:val="en-IN"/>
              </w:rPr>
            </w:pPr>
            <w:r w:rsidRPr="00D37D47">
              <w:rPr>
                <w:rFonts w:ascii="Times New Roman" w:hAnsi="Times New Roman" w:cs="Times New Roman"/>
                <w:sz w:val="18"/>
                <w:szCs w:val="18"/>
                <w:lang w:val="en-IN"/>
              </w:rPr>
              <w:t>10</w:t>
            </w:r>
          </w:p>
        </w:tc>
        <w:tc>
          <w:tcPr>
            <w:tcW w:w="970" w:type="dxa"/>
            <w:tcBorders>
              <w:top w:val="nil"/>
              <w:bottom w:val="single" w:sz="4" w:space="0" w:color="auto"/>
            </w:tcBorders>
            <w:vAlign w:val="center"/>
          </w:tcPr>
          <w:p w14:paraId="37853643" w14:textId="2799CF41" w:rsidR="007A2807" w:rsidRPr="00CC5B9C" w:rsidRDefault="00CC5B9C" w:rsidP="00977C56">
            <w:pPr>
              <w:spacing w:line="360" w:lineRule="auto"/>
              <w:jc w:val="center"/>
              <w:rPr>
                <w:rFonts w:ascii="Times New Roman" w:hAnsi="Times New Roman" w:cs="Times New Roman"/>
                <w:sz w:val="18"/>
                <w:szCs w:val="18"/>
                <w:lang w:val="en-IN"/>
              </w:rPr>
            </w:pPr>
            <w:r w:rsidRPr="00CC5B9C">
              <w:rPr>
                <w:rFonts w:ascii="Times New Roman" w:hAnsi="Times New Roman" w:cs="Times New Roman"/>
                <w:sz w:val="18"/>
                <w:szCs w:val="18"/>
                <w:lang w:val="en-IN"/>
              </w:rPr>
              <w:t>2.07</w:t>
            </w:r>
          </w:p>
        </w:tc>
        <w:tc>
          <w:tcPr>
            <w:tcW w:w="930" w:type="dxa"/>
            <w:tcBorders>
              <w:top w:val="nil"/>
              <w:bottom w:val="single" w:sz="4" w:space="0" w:color="auto"/>
            </w:tcBorders>
            <w:vAlign w:val="center"/>
          </w:tcPr>
          <w:p w14:paraId="4A49AFB1" w14:textId="1C7E0FA5" w:rsidR="007A2807" w:rsidRPr="00CC5B9C" w:rsidRDefault="00CC5B9C" w:rsidP="00977C56">
            <w:pPr>
              <w:spacing w:line="360" w:lineRule="auto"/>
              <w:jc w:val="center"/>
              <w:rPr>
                <w:rFonts w:ascii="Times New Roman" w:hAnsi="Times New Roman" w:cs="Times New Roman"/>
                <w:sz w:val="18"/>
                <w:szCs w:val="18"/>
                <w:lang w:val="en-IN"/>
              </w:rPr>
            </w:pPr>
            <w:r w:rsidRPr="00CC5B9C">
              <w:rPr>
                <w:rFonts w:ascii="Times New Roman" w:hAnsi="Times New Roman" w:cs="Times New Roman"/>
                <w:sz w:val="18"/>
                <w:szCs w:val="18"/>
                <w:lang w:val="en-IN"/>
              </w:rPr>
              <w:t>5.63</w:t>
            </w:r>
          </w:p>
        </w:tc>
        <w:tc>
          <w:tcPr>
            <w:tcW w:w="937" w:type="dxa"/>
            <w:tcBorders>
              <w:top w:val="nil"/>
              <w:bottom w:val="single" w:sz="4" w:space="0" w:color="auto"/>
            </w:tcBorders>
            <w:vAlign w:val="center"/>
          </w:tcPr>
          <w:p w14:paraId="15A6D48C" w14:textId="2E0625CB" w:rsidR="007A2807" w:rsidRPr="00E07FBC" w:rsidRDefault="00E07FBC" w:rsidP="00977C56">
            <w:pPr>
              <w:spacing w:line="360" w:lineRule="auto"/>
              <w:jc w:val="center"/>
              <w:rPr>
                <w:rFonts w:ascii="Times New Roman" w:hAnsi="Times New Roman" w:cs="Times New Roman"/>
                <w:sz w:val="18"/>
                <w:szCs w:val="18"/>
                <w:lang w:val="en-IN"/>
              </w:rPr>
            </w:pPr>
            <w:r w:rsidRPr="00E07FBC">
              <w:rPr>
                <w:rFonts w:ascii="Times New Roman" w:hAnsi="Times New Roman" w:cs="Times New Roman"/>
                <w:sz w:val="18"/>
                <w:szCs w:val="18"/>
                <w:lang w:val="en-IN"/>
              </w:rPr>
              <w:t>97.55</w:t>
            </w:r>
          </w:p>
        </w:tc>
        <w:tc>
          <w:tcPr>
            <w:tcW w:w="884" w:type="dxa"/>
            <w:vMerge/>
            <w:vAlign w:val="center"/>
          </w:tcPr>
          <w:p w14:paraId="3C34C0DF"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r>
      <w:tr w:rsidR="00D37D47" w:rsidRPr="00525124" w14:paraId="7C2F181A" w14:textId="0F816ADE" w:rsidTr="00E24F08">
        <w:trPr>
          <w:trHeight w:val="402"/>
          <w:jc w:val="center"/>
        </w:trPr>
        <w:tc>
          <w:tcPr>
            <w:tcW w:w="814" w:type="dxa"/>
            <w:vMerge w:val="restart"/>
            <w:vAlign w:val="center"/>
          </w:tcPr>
          <w:p w14:paraId="79DB0904" w14:textId="1534914D" w:rsidR="007A2807" w:rsidRPr="00525124" w:rsidRDefault="007A2807" w:rsidP="00977C56">
            <w:pPr>
              <w:spacing w:line="360" w:lineRule="auto"/>
              <w:jc w:val="center"/>
              <w:rPr>
                <w:rFonts w:ascii="Times New Roman" w:hAnsi="Times New Roman" w:cs="Times New Roman"/>
                <w:b/>
                <w:bCs/>
                <w:sz w:val="18"/>
                <w:szCs w:val="18"/>
                <w:lang w:val="en-IN"/>
              </w:rPr>
            </w:pPr>
            <w:r w:rsidRPr="00525124">
              <w:rPr>
                <w:rFonts w:ascii="Times New Roman" w:hAnsi="Times New Roman" w:cs="Times New Roman"/>
                <w:b/>
                <w:bCs/>
                <w:sz w:val="18"/>
                <w:szCs w:val="18"/>
                <w:lang w:val="en-IN"/>
              </w:rPr>
              <w:t>Urine</w:t>
            </w:r>
          </w:p>
        </w:tc>
        <w:tc>
          <w:tcPr>
            <w:tcW w:w="688" w:type="dxa"/>
            <w:vMerge w:val="restart"/>
            <w:vAlign w:val="center"/>
          </w:tcPr>
          <w:p w14:paraId="62F5E71F" w14:textId="25D4EB9D" w:rsidR="007A2807" w:rsidRPr="00525124" w:rsidRDefault="007A2807"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rPr>
              <w:t>1 mg/ml</w:t>
            </w:r>
          </w:p>
        </w:tc>
        <w:tc>
          <w:tcPr>
            <w:tcW w:w="625" w:type="dxa"/>
            <w:vMerge w:val="restart"/>
            <w:vAlign w:val="center"/>
          </w:tcPr>
          <w:p w14:paraId="0EB07618" w14:textId="61945E59" w:rsidR="007A2807" w:rsidRPr="00525124" w:rsidRDefault="007A2807"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rPr>
              <w:t>0.22</w:t>
            </w:r>
          </w:p>
        </w:tc>
        <w:tc>
          <w:tcPr>
            <w:tcW w:w="688" w:type="dxa"/>
            <w:vMerge w:val="restart"/>
            <w:vAlign w:val="center"/>
          </w:tcPr>
          <w:p w14:paraId="22AF246D" w14:textId="0B1EB1A7" w:rsidR="007A2807" w:rsidRPr="00525124" w:rsidRDefault="007A2807" w:rsidP="00977C56">
            <w:pPr>
              <w:spacing w:line="360" w:lineRule="auto"/>
              <w:jc w:val="center"/>
              <w:rPr>
                <w:rFonts w:ascii="Times New Roman" w:hAnsi="Times New Roman" w:cs="Times New Roman"/>
                <w:sz w:val="18"/>
                <w:szCs w:val="18"/>
              </w:rPr>
            </w:pPr>
            <w:r w:rsidRPr="00525124">
              <w:rPr>
                <w:rFonts w:ascii="Times New Roman" w:hAnsi="Times New Roman" w:cs="Times New Roman"/>
                <w:sz w:val="18"/>
                <w:szCs w:val="18"/>
              </w:rPr>
              <w:t>2 mg/ml</w:t>
            </w:r>
          </w:p>
        </w:tc>
        <w:tc>
          <w:tcPr>
            <w:tcW w:w="683" w:type="dxa"/>
            <w:vMerge w:val="restart"/>
            <w:vAlign w:val="center"/>
          </w:tcPr>
          <w:p w14:paraId="13AA662E" w14:textId="77777777" w:rsidR="007A2807" w:rsidRPr="00525124" w:rsidRDefault="007A2807"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rPr>
              <w:t>0.08</w:t>
            </w:r>
          </w:p>
          <w:p w14:paraId="34153BCC" w14:textId="55132810" w:rsidR="007A2807" w:rsidRPr="00525124" w:rsidRDefault="007A2807" w:rsidP="00977C56">
            <w:pPr>
              <w:spacing w:line="360" w:lineRule="auto"/>
              <w:jc w:val="center"/>
              <w:rPr>
                <w:rFonts w:ascii="Times New Roman" w:hAnsi="Times New Roman" w:cs="Times New Roman"/>
                <w:sz w:val="18"/>
                <w:szCs w:val="18"/>
                <w:lang w:val="en-IN"/>
              </w:rPr>
            </w:pPr>
          </w:p>
        </w:tc>
        <w:tc>
          <w:tcPr>
            <w:tcW w:w="1098" w:type="dxa"/>
            <w:vMerge w:val="restart"/>
            <w:vAlign w:val="center"/>
          </w:tcPr>
          <w:p w14:paraId="2DA3BE8D" w14:textId="22A471A1" w:rsidR="007A2807" w:rsidRPr="00525124" w:rsidRDefault="007A2807"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rPr>
              <w:t>y = 4643.5x</w:t>
            </w:r>
          </w:p>
        </w:tc>
        <w:tc>
          <w:tcPr>
            <w:tcW w:w="757" w:type="dxa"/>
            <w:vMerge w:val="restart"/>
            <w:vAlign w:val="center"/>
          </w:tcPr>
          <w:p w14:paraId="7DD1FEF6" w14:textId="44C84336" w:rsidR="007A2807" w:rsidRPr="00525124" w:rsidRDefault="007A2807"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rPr>
              <w:t>0.993</w:t>
            </w:r>
          </w:p>
        </w:tc>
        <w:tc>
          <w:tcPr>
            <w:tcW w:w="888" w:type="dxa"/>
            <w:tcBorders>
              <w:bottom w:val="nil"/>
            </w:tcBorders>
            <w:vAlign w:val="center"/>
          </w:tcPr>
          <w:p w14:paraId="147CB902" w14:textId="0A388090" w:rsidR="007A2807" w:rsidRPr="00525124" w:rsidRDefault="007A2807"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lang w:val="en-IN"/>
              </w:rPr>
              <w:t>1</w:t>
            </w:r>
          </w:p>
        </w:tc>
        <w:tc>
          <w:tcPr>
            <w:tcW w:w="970" w:type="dxa"/>
            <w:tcBorders>
              <w:bottom w:val="nil"/>
            </w:tcBorders>
            <w:vAlign w:val="center"/>
          </w:tcPr>
          <w:p w14:paraId="1310CC1E" w14:textId="26CA516C" w:rsidR="007A2807" w:rsidRPr="00525124" w:rsidRDefault="007A2807"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rPr>
              <w:t>8.07</w:t>
            </w:r>
          </w:p>
        </w:tc>
        <w:tc>
          <w:tcPr>
            <w:tcW w:w="930" w:type="dxa"/>
            <w:tcBorders>
              <w:bottom w:val="nil"/>
            </w:tcBorders>
            <w:vAlign w:val="center"/>
          </w:tcPr>
          <w:p w14:paraId="19DBD2B4" w14:textId="47C02D41" w:rsidR="007A2807" w:rsidRPr="00525124" w:rsidRDefault="007A2807"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rPr>
              <w:t>1.11</w:t>
            </w:r>
          </w:p>
        </w:tc>
        <w:tc>
          <w:tcPr>
            <w:tcW w:w="937" w:type="dxa"/>
            <w:tcBorders>
              <w:bottom w:val="nil"/>
            </w:tcBorders>
            <w:vAlign w:val="center"/>
          </w:tcPr>
          <w:p w14:paraId="77D142BB" w14:textId="3F548975" w:rsidR="007A2807" w:rsidRPr="00525124" w:rsidRDefault="007A2807"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rPr>
              <w:t>94.95</w:t>
            </w:r>
          </w:p>
        </w:tc>
        <w:tc>
          <w:tcPr>
            <w:tcW w:w="884" w:type="dxa"/>
            <w:vMerge w:val="restart"/>
            <w:vAlign w:val="center"/>
          </w:tcPr>
          <w:p w14:paraId="094A0701" w14:textId="63EB2C76" w:rsidR="007A2807" w:rsidRPr="00525124" w:rsidRDefault="007A2807"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lang w:val="en-IN"/>
              </w:rPr>
              <w:t>81.88</w:t>
            </w:r>
          </w:p>
        </w:tc>
      </w:tr>
      <w:tr w:rsidR="00D37D47" w:rsidRPr="00525124" w14:paraId="2F5E9BE6" w14:textId="77777777" w:rsidTr="00E24F08">
        <w:trPr>
          <w:trHeight w:val="412"/>
          <w:jc w:val="center"/>
        </w:trPr>
        <w:tc>
          <w:tcPr>
            <w:tcW w:w="814" w:type="dxa"/>
            <w:vMerge/>
            <w:vAlign w:val="center"/>
          </w:tcPr>
          <w:p w14:paraId="7D5DD212"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c>
          <w:tcPr>
            <w:tcW w:w="688" w:type="dxa"/>
            <w:vMerge/>
            <w:vAlign w:val="center"/>
          </w:tcPr>
          <w:p w14:paraId="1351006A" w14:textId="77777777" w:rsidR="007A2807" w:rsidRPr="00525124" w:rsidRDefault="007A2807" w:rsidP="00977C56">
            <w:pPr>
              <w:spacing w:line="360" w:lineRule="auto"/>
              <w:jc w:val="center"/>
              <w:rPr>
                <w:rFonts w:ascii="Times New Roman" w:hAnsi="Times New Roman" w:cs="Times New Roman"/>
                <w:sz w:val="18"/>
                <w:szCs w:val="18"/>
                <w:lang w:val="en-IN"/>
              </w:rPr>
            </w:pPr>
          </w:p>
        </w:tc>
        <w:tc>
          <w:tcPr>
            <w:tcW w:w="625" w:type="dxa"/>
            <w:vMerge/>
            <w:vAlign w:val="center"/>
          </w:tcPr>
          <w:p w14:paraId="2589B05C" w14:textId="77777777" w:rsidR="007A2807" w:rsidRPr="00525124" w:rsidRDefault="007A2807" w:rsidP="00977C56">
            <w:pPr>
              <w:spacing w:line="360" w:lineRule="auto"/>
              <w:jc w:val="center"/>
              <w:rPr>
                <w:rFonts w:ascii="Times New Roman" w:hAnsi="Times New Roman" w:cs="Times New Roman"/>
                <w:sz w:val="18"/>
                <w:szCs w:val="18"/>
                <w:lang w:val="en-IN"/>
              </w:rPr>
            </w:pPr>
          </w:p>
        </w:tc>
        <w:tc>
          <w:tcPr>
            <w:tcW w:w="688" w:type="dxa"/>
            <w:vMerge/>
            <w:vAlign w:val="center"/>
          </w:tcPr>
          <w:p w14:paraId="2E3F88B3" w14:textId="77777777" w:rsidR="007A2807" w:rsidRPr="00525124" w:rsidRDefault="007A2807" w:rsidP="00977C56">
            <w:pPr>
              <w:spacing w:line="360" w:lineRule="auto"/>
              <w:jc w:val="center"/>
              <w:rPr>
                <w:rFonts w:ascii="Times New Roman" w:hAnsi="Times New Roman" w:cs="Times New Roman"/>
                <w:sz w:val="18"/>
                <w:szCs w:val="18"/>
                <w:lang w:val="en-IN"/>
              </w:rPr>
            </w:pPr>
          </w:p>
        </w:tc>
        <w:tc>
          <w:tcPr>
            <w:tcW w:w="683" w:type="dxa"/>
            <w:vMerge/>
            <w:vAlign w:val="center"/>
          </w:tcPr>
          <w:p w14:paraId="566BF53F" w14:textId="77777777" w:rsidR="007A2807" w:rsidRPr="00525124" w:rsidRDefault="007A2807" w:rsidP="00977C56">
            <w:pPr>
              <w:spacing w:line="360" w:lineRule="auto"/>
              <w:jc w:val="center"/>
              <w:rPr>
                <w:rFonts w:ascii="Times New Roman" w:hAnsi="Times New Roman" w:cs="Times New Roman"/>
                <w:sz w:val="18"/>
                <w:szCs w:val="18"/>
                <w:lang w:val="en-IN"/>
              </w:rPr>
            </w:pPr>
          </w:p>
        </w:tc>
        <w:tc>
          <w:tcPr>
            <w:tcW w:w="1098" w:type="dxa"/>
            <w:vMerge/>
            <w:vAlign w:val="center"/>
          </w:tcPr>
          <w:p w14:paraId="06AC50E6" w14:textId="77777777" w:rsidR="007A2807" w:rsidRPr="00525124" w:rsidRDefault="007A2807" w:rsidP="00977C56">
            <w:pPr>
              <w:spacing w:line="360" w:lineRule="auto"/>
              <w:jc w:val="center"/>
              <w:rPr>
                <w:rFonts w:ascii="Times New Roman" w:hAnsi="Times New Roman" w:cs="Times New Roman"/>
                <w:sz w:val="18"/>
                <w:szCs w:val="18"/>
                <w:lang w:val="en-IN"/>
              </w:rPr>
            </w:pPr>
          </w:p>
        </w:tc>
        <w:tc>
          <w:tcPr>
            <w:tcW w:w="757" w:type="dxa"/>
            <w:vMerge/>
            <w:vAlign w:val="center"/>
          </w:tcPr>
          <w:p w14:paraId="1BA84752" w14:textId="77777777" w:rsidR="007A2807" w:rsidRPr="00525124" w:rsidRDefault="007A2807" w:rsidP="00977C56">
            <w:pPr>
              <w:spacing w:line="360" w:lineRule="auto"/>
              <w:jc w:val="center"/>
              <w:rPr>
                <w:rFonts w:ascii="Times New Roman" w:hAnsi="Times New Roman" w:cs="Times New Roman"/>
                <w:sz w:val="18"/>
                <w:szCs w:val="18"/>
                <w:lang w:val="en-IN"/>
              </w:rPr>
            </w:pPr>
          </w:p>
        </w:tc>
        <w:tc>
          <w:tcPr>
            <w:tcW w:w="888" w:type="dxa"/>
            <w:tcBorders>
              <w:top w:val="nil"/>
              <w:bottom w:val="nil"/>
            </w:tcBorders>
            <w:vAlign w:val="center"/>
          </w:tcPr>
          <w:p w14:paraId="0D054C70" w14:textId="571B866E" w:rsidR="007A2807" w:rsidRPr="00525124" w:rsidRDefault="007A2807"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lang w:val="en-IN"/>
              </w:rPr>
              <w:t>6</w:t>
            </w:r>
          </w:p>
        </w:tc>
        <w:tc>
          <w:tcPr>
            <w:tcW w:w="970" w:type="dxa"/>
            <w:tcBorders>
              <w:top w:val="nil"/>
              <w:bottom w:val="nil"/>
            </w:tcBorders>
            <w:vAlign w:val="center"/>
          </w:tcPr>
          <w:p w14:paraId="131F0D31" w14:textId="2BEDB17B" w:rsidR="007A2807" w:rsidRPr="00525124" w:rsidRDefault="007A2807"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rPr>
              <w:t>3.27</w:t>
            </w:r>
          </w:p>
        </w:tc>
        <w:tc>
          <w:tcPr>
            <w:tcW w:w="930" w:type="dxa"/>
            <w:tcBorders>
              <w:top w:val="nil"/>
              <w:bottom w:val="nil"/>
            </w:tcBorders>
            <w:vAlign w:val="center"/>
          </w:tcPr>
          <w:p w14:paraId="24005A75" w14:textId="4785274A" w:rsidR="007A2807" w:rsidRPr="00525124" w:rsidRDefault="007A2807"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rPr>
              <w:t>6.5</w:t>
            </w:r>
          </w:p>
        </w:tc>
        <w:tc>
          <w:tcPr>
            <w:tcW w:w="937" w:type="dxa"/>
            <w:tcBorders>
              <w:top w:val="nil"/>
              <w:bottom w:val="nil"/>
            </w:tcBorders>
            <w:vAlign w:val="center"/>
          </w:tcPr>
          <w:p w14:paraId="73100402" w14:textId="66278C7C" w:rsidR="007A2807" w:rsidRPr="00525124" w:rsidRDefault="007A2807"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rPr>
              <w:t>96.19</w:t>
            </w:r>
          </w:p>
        </w:tc>
        <w:tc>
          <w:tcPr>
            <w:tcW w:w="884" w:type="dxa"/>
            <w:vMerge/>
            <w:vAlign w:val="center"/>
          </w:tcPr>
          <w:p w14:paraId="4876B0BF" w14:textId="77777777" w:rsidR="007A2807" w:rsidRPr="00525124" w:rsidRDefault="007A2807" w:rsidP="00977C56">
            <w:pPr>
              <w:spacing w:line="360" w:lineRule="auto"/>
              <w:jc w:val="center"/>
              <w:rPr>
                <w:rFonts w:ascii="Times New Roman" w:hAnsi="Times New Roman" w:cs="Times New Roman"/>
                <w:sz w:val="18"/>
                <w:szCs w:val="18"/>
                <w:lang w:val="en-IN"/>
              </w:rPr>
            </w:pPr>
          </w:p>
        </w:tc>
      </w:tr>
      <w:tr w:rsidR="00D37D47" w:rsidRPr="00525124" w14:paraId="6556A784" w14:textId="77777777" w:rsidTr="00E24F08">
        <w:trPr>
          <w:trHeight w:val="402"/>
          <w:jc w:val="center"/>
        </w:trPr>
        <w:tc>
          <w:tcPr>
            <w:tcW w:w="814" w:type="dxa"/>
            <w:vMerge/>
            <w:vAlign w:val="center"/>
          </w:tcPr>
          <w:p w14:paraId="6714585B"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c>
          <w:tcPr>
            <w:tcW w:w="688" w:type="dxa"/>
            <w:vMerge/>
            <w:vAlign w:val="center"/>
          </w:tcPr>
          <w:p w14:paraId="128E9113" w14:textId="77777777" w:rsidR="007A2807" w:rsidRPr="00525124" w:rsidRDefault="007A2807" w:rsidP="00977C56">
            <w:pPr>
              <w:spacing w:line="360" w:lineRule="auto"/>
              <w:jc w:val="center"/>
              <w:rPr>
                <w:rFonts w:ascii="Times New Roman" w:hAnsi="Times New Roman" w:cs="Times New Roman"/>
                <w:sz w:val="18"/>
                <w:szCs w:val="18"/>
                <w:lang w:val="en-IN"/>
              </w:rPr>
            </w:pPr>
          </w:p>
        </w:tc>
        <w:tc>
          <w:tcPr>
            <w:tcW w:w="625" w:type="dxa"/>
            <w:vMerge/>
            <w:vAlign w:val="center"/>
          </w:tcPr>
          <w:p w14:paraId="02603C9B" w14:textId="77777777" w:rsidR="007A2807" w:rsidRPr="00525124" w:rsidRDefault="007A2807" w:rsidP="00977C56">
            <w:pPr>
              <w:spacing w:line="360" w:lineRule="auto"/>
              <w:jc w:val="center"/>
              <w:rPr>
                <w:rFonts w:ascii="Times New Roman" w:hAnsi="Times New Roman" w:cs="Times New Roman"/>
                <w:sz w:val="18"/>
                <w:szCs w:val="18"/>
                <w:lang w:val="en-IN"/>
              </w:rPr>
            </w:pPr>
          </w:p>
        </w:tc>
        <w:tc>
          <w:tcPr>
            <w:tcW w:w="688" w:type="dxa"/>
            <w:vMerge/>
            <w:vAlign w:val="center"/>
          </w:tcPr>
          <w:p w14:paraId="4101AA59" w14:textId="77777777" w:rsidR="007A2807" w:rsidRPr="00525124" w:rsidRDefault="007A2807" w:rsidP="00977C56">
            <w:pPr>
              <w:spacing w:line="360" w:lineRule="auto"/>
              <w:jc w:val="center"/>
              <w:rPr>
                <w:rFonts w:ascii="Times New Roman" w:hAnsi="Times New Roman" w:cs="Times New Roman"/>
                <w:sz w:val="18"/>
                <w:szCs w:val="18"/>
                <w:lang w:val="en-IN"/>
              </w:rPr>
            </w:pPr>
          </w:p>
        </w:tc>
        <w:tc>
          <w:tcPr>
            <w:tcW w:w="683" w:type="dxa"/>
            <w:vMerge/>
            <w:vAlign w:val="center"/>
          </w:tcPr>
          <w:p w14:paraId="77F10055" w14:textId="77777777" w:rsidR="007A2807" w:rsidRPr="00525124" w:rsidRDefault="007A2807" w:rsidP="00977C56">
            <w:pPr>
              <w:spacing w:line="360" w:lineRule="auto"/>
              <w:jc w:val="center"/>
              <w:rPr>
                <w:rFonts w:ascii="Times New Roman" w:hAnsi="Times New Roman" w:cs="Times New Roman"/>
                <w:sz w:val="18"/>
                <w:szCs w:val="18"/>
                <w:lang w:val="en-IN"/>
              </w:rPr>
            </w:pPr>
          </w:p>
        </w:tc>
        <w:tc>
          <w:tcPr>
            <w:tcW w:w="1098" w:type="dxa"/>
            <w:vMerge/>
            <w:vAlign w:val="center"/>
          </w:tcPr>
          <w:p w14:paraId="73A6B237" w14:textId="77777777" w:rsidR="007A2807" w:rsidRPr="00525124" w:rsidRDefault="007A2807" w:rsidP="00977C56">
            <w:pPr>
              <w:spacing w:line="360" w:lineRule="auto"/>
              <w:jc w:val="center"/>
              <w:rPr>
                <w:rFonts w:ascii="Times New Roman" w:hAnsi="Times New Roman" w:cs="Times New Roman"/>
                <w:sz w:val="18"/>
                <w:szCs w:val="18"/>
                <w:lang w:val="en-IN"/>
              </w:rPr>
            </w:pPr>
          </w:p>
        </w:tc>
        <w:tc>
          <w:tcPr>
            <w:tcW w:w="757" w:type="dxa"/>
            <w:vMerge/>
            <w:vAlign w:val="center"/>
          </w:tcPr>
          <w:p w14:paraId="5D0FD334" w14:textId="77777777" w:rsidR="007A2807" w:rsidRPr="00525124" w:rsidRDefault="007A2807" w:rsidP="00977C56">
            <w:pPr>
              <w:spacing w:line="360" w:lineRule="auto"/>
              <w:jc w:val="center"/>
              <w:rPr>
                <w:rFonts w:ascii="Times New Roman" w:hAnsi="Times New Roman" w:cs="Times New Roman"/>
                <w:sz w:val="18"/>
                <w:szCs w:val="18"/>
                <w:lang w:val="en-IN"/>
              </w:rPr>
            </w:pPr>
          </w:p>
        </w:tc>
        <w:tc>
          <w:tcPr>
            <w:tcW w:w="888" w:type="dxa"/>
            <w:tcBorders>
              <w:top w:val="nil"/>
              <w:bottom w:val="single" w:sz="4" w:space="0" w:color="auto"/>
            </w:tcBorders>
            <w:vAlign w:val="center"/>
          </w:tcPr>
          <w:p w14:paraId="2D6CDE4D" w14:textId="0CD2137C" w:rsidR="007A2807" w:rsidRPr="00525124" w:rsidRDefault="007A2807"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lang w:val="en-IN"/>
              </w:rPr>
              <w:t>10</w:t>
            </w:r>
          </w:p>
        </w:tc>
        <w:tc>
          <w:tcPr>
            <w:tcW w:w="970" w:type="dxa"/>
            <w:tcBorders>
              <w:top w:val="nil"/>
              <w:bottom w:val="single" w:sz="4" w:space="0" w:color="auto"/>
            </w:tcBorders>
            <w:vAlign w:val="center"/>
          </w:tcPr>
          <w:p w14:paraId="1173E182" w14:textId="02D8D969" w:rsidR="007A2807" w:rsidRPr="00525124" w:rsidRDefault="007A2807"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rPr>
              <w:t>1.3</w:t>
            </w:r>
          </w:p>
        </w:tc>
        <w:tc>
          <w:tcPr>
            <w:tcW w:w="930" w:type="dxa"/>
            <w:tcBorders>
              <w:top w:val="nil"/>
              <w:bottom w:val="single" w:sz="4" w:space="0" w:color="auto"/>
            </w:tcBorders>
            <w:vAlign w:val="center"/>
          </w:tcPr>
          <w:p w14:paraId="218E267E" w14:textId="453D03B5" w:rsidR="007A2807" w:rsidRPr="00525124" w:rsidRDefault="007A2807"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rPr>
              <w:t>5.27</w:t>
            </w:r>
          </w:p>
        </w:tc>
        <w:tc>
          <w:tcPr>
            <w:tcW w:w="937" w:type="dxa"/>
            <w:tcBorders>
              <w:top w:val="nil"/>
              <w:bottom w:val="single" w:sz="4" w:space="0" w:color="auto"/>
            </w:tcBorders>
            <w:vAlign w:val="center"/>
          </w:tcPr>
          <w:p w14:paraId="7A6D2DA2" w14:textId="18361717" w:rsidR="007A2807" w:rsidRPr="00525124" w:rsidRDefault="007A2807"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rPr>
              <w:t>98.48</w:t>
            </w:r>
          </w:p>
        </w:tc>
        <w:tc>
          <w:tcPr>
            <w:tcW w:w="884" w:type="dxa"/>
            <w:vMerge/>
            <w:vAlign w:val="center"/>
          </w:tcPr>
          <w:p w14:paraId="497C86F4" w14:textId="77777777" w:rsidR="007A2807" w:rsidRPr="00525124" w:rsidRDefault="007A2807" w:rsidP="00977C56">
            <w:pPr>
              <w:spacing w:line="360" w:lineRule="auto"/>
              <w:jc w:val="center"/>
              <w:rPr>
                <w:rFonts w:ascii="Times New Roman" w:hAnsi="Times New Roman" w:cs="Times New Roman"/>
                <w:sz w:val="18"/>
                <w:szCs w:val="18"/>
                <w:lang w:val="en-IN"/>
              </w:rPr>
            </w:pPr>
          </w:p>
        </w:tc>
      </w:tr>
      <w:tr w:rsidR="00D37D47" w:rsidRPr="00525124" w14:paraId="5B26F61F" w14:textId="1BFA0939" w:rsidTr="007A0424">
        <w:trPr>
          <w:trHeight w:val="412"/>
          <w:jc w:val="center"/>
        </w:trPr>
        <w:tc>
          <w:tcPr>
            <w:tcW w:w="814" w:type="dxa"/>
            <w:vMerge w:val="restart"/>
            <w:vAlign w:val="center"/>
          </w:tcPr>
          <w:p w14:paraId="35BC9DA6" w14:textId="2DC8442E" w:rsidR="007A2807" w:rsidRPr="00525124" w:rsidRDefault="007A2807" w:rsidP="00977C56">
            <w:pPr>
              <w:spacing w:line="360" w:lineRule="auto"/>
              <w:jc w:val="center"/>
              <w:rPr>
                <w:rFonts w:ascii="Times New Roman" w:hAnsi="Times New Roman" w:cs="Times New Roman"/>
                <w:b/>
                <w:bCs/>
                <w:sz w:val="18"/>
                <w:szCs w:val="18"/>
                <w:lang w:val="en-IN"/>
              </w:rPr>
            </w:pPr>
            <w:r w:rsidRPr="00525124">
              <w:rPr>
                <w:rFonts w:ascii="Times New Roman" w:hAnsi="Times New Roman" w:cs="Times New Roman"/>
                <w:b/>
                <w:bCs/>
                <w:sz w:val="18"/>
                <w:szCs w:val="18"/>
                <w:lang w:val="en-IN"/>
              </w:rPr>
              <w:t>Pill</w:t>
            </w:r>
          </w:p>
        </w:tc>
        <w:tc>
          <w:tcPr>
            <w:tcW w:w="688" w:type="dxa"/>
            <w:vMerge w:val="restart"/>
            <w:vAlign w:val="center"/>
          </w:tcPr>
          <w:p w14:paraId="1FF8BB0E" w14:textId="5C1CBBFA" w:rsidR="007A2807" w:rsidRPr="00525124" w:rsidRDefault="007A2807"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rPr>
              <w:t>1 mg/ml</w:t>
            </w:r>
          </w:p>
        </w:tc>
        <w:tc>
          <w:tcPr>
            <w:tcW w:w="625" w:type="dxa"/>
            <w:vMerge w:val="restart"/>
            <w:vAlign w:val="center"/>
          </w:tcPr>
          <w:p w14:paraId="242CC215" w14:textId="3E83D9ED" w:rsidR="007A2807" w:rsidRPr="00525124" w:rsidRDefault="007A2807"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rPr>
              <w:t>0.03</w:t>
            </w:r>
          </w:p>
        </w:tc>
        <w:tc>
          <w:tcPr>
            <w:tcW w:w="688" w:type="dxa"/>
            <w:vMerge w:val="restart"/>
            <w:vAlign w:val="center"/>
          </w:tcPr>
          <w:p w14:paraId="641E69BB" w14:textId="70B80F08" w:rsidR="007A2807" w:rsidRPr="00525124" w:rsidRDefault="007A2807"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rPr>
              <w:t>2 mg/ml</w:t>
            </w:r>
          </w:p>
        </w:tc>
        <w:tc>
          <w:tcPr>
            <w:tcW w:w="683" w:type="dxa"/>
            <w:vMerge w:val="restart"/>
            <w:vAlign w:val="center"/>
          </w:tcPr>
          <w:p w14:paraId="7DCB1D6C" w14:textId="6AFC9110" w:rsidR="007A2807" w:rsidRPr="00525124" w:rsidRDefault="007A2807"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rPr>
              <w:t>0.46</w:t>
            </w:r>
          </w:p>
        </w:tc>
        <w:tc>
          <w:tcPr>
            <w:tcW w:w="1098" w:type="dxa"/>
            <w:vMerge w:val="restart"/>
            <w:vAlign w:val="center"/>
          </w:tcPr>
          <w:p w14:paraId="7434A70D" w14:textId="6B9FDBB2" w:rsidR="007A2807" w:rsidRPr="00525124" w:rsidRDefault="007A2807"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rPr>
              <w:t>y = 2434.7x</w:t>
            </w:r>
          </w:p>
        </w:tc>
        <w:tc>
          <w:tcPr>
            <w:tcW w:w="757" w:type="dxa"/>
            <w:vMerge w:val="restart"/>
            <w:vAlign w:val="center"/>
          </w:tcPr>
          <w:p w14:paraId="22F99071" w14:textId="56D01262" w:rsidR="007A2807" w:rsidRPr="00525124" w:rsidRDefault="007A2807"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rPr>
              <w:t>0.992</w:t>
            </w:r>
          </w:p>
        </w:tc>
        <w:tc>
          <w:tcPr>
            <w:tcW w:w="888" w:type="dxa"/>
            <w:tcBorders>
              <w:bottom w:val="nil"/>
            </w:tcBorders>
            <w:vAlign w:val="center"/>
          </w:tcPr>
          <w:p w14:paraId="397157E8" w14:textId="26F824A1" w:rsidR="007A2807" w:rsidRPr="00525124" w:rsidRDefault="007A2807"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lang w:val="en-IN"/>
              </w:rPr>
              <w:t>2</w:t>
            </w:r>
          </w:p>
        </w:tc>
        <w:tc>
          <w:tcPr>
            <w:tcW w:w="970" w:type="dxa"/>
            <w:tcBorders>
              <w:bottom w:val="nil"/>
            </w:tcBorders>
            <w:vAlign w:val="center"/>
          </w:tcPr>
          <w:p w14:paraId="5B9757A4" w14:textId="552E987C" w:rsidR="007A2807" w:rsidRPr="00525124" w:rsidRDefault="007A2807" w:rsidP="00977C56">
            <w:pPr>
              <w:spacing w:line="360" w:lineRule="auto"/>
              <w:jc w:val="center"/>
              <w:rPr>
                <w:rFonts w:ascii="Times New Roman" w:hAnsi="Times New Roman" w:cs="Times New Roman"/>
                <w:sz w:val="18"/>
                <w:szCs w:val="18"/>
              </w:rPr>
            </w:pPr>
            <w:r w:rsidRPr="00525124">
              <w:rPr>
                <w:rFonts w:ascii="Times New Roman" w:hAnsi="Times New Roman" w:cs="Times New Roman"/>
                <w:sz w:val="18"/>
                <w:szCs w:val="18"/>
              </w:rPr>
              <w:t>1.24</w:t>
            </w:r>
          </w:p>
        </w:tc>
        <w:tc>
          <w:tcPr>
            <w:tcW w:w="930" w:type="dxa"/>
            <w:tcBorders>
              <w:bottom w:val="nil"/>
            </w:tcBorders>
            <w:vAlign w:val="center"/>
          </w:tcPr>
          <w:p w14:paraId="4BE9CDD1" w14:textId="6A5B7ADA" w:rsidR="007A2807" w:rsidRPr="00525124" w:rsidRDefault="007A2807"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rPr>
              <w:t>2.97</w:t>
            </w:r>
          </w:p>
        </w:tc>
        <w:tc>
          <w:tcPr>
            <w:tcW w:w="937" w:type="dxa"/>
            <w:tcBorders>
              <w:bottom w:val="nil"/>
            </w:tcBorders>
            <w:vAlign w:val="center"/>
          </w:tcPr>
          <w:p w14:paraId="5E90B449" w14:textId="6C5A0836" w:rsidR="007A2807" w:rsidRPr="00525124" w:rsidRDefault="007A2807"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rPr>
              <w:t>95.63</w:t>
            </w:r>
          </w:p>
        </w:tc>
        <w:tc>
          <w:tcPr>
            <w:tcW w:w="884" w:type="dxa"/>
            <w:vMerge w:val="restart"/>
            <w:vAlign w:val="center"/>
          </w:tcPr>
          <w:p w14:paraId="02837BD7" w14:textId="2AF9C42F" w:rsidR="007A2807" w:rsidRPr="00525124" w:rsidRDefault="007A2807"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lang w:val="en-IN"/>
              </w:rPr>
              <w:t>98.34</w:t>
            </w:r>
          </w:p>
        </w:tc>
      </w:tr>
      <w:tr w:rsidR="00D37D47" w:rsidRPr="00525124" w14:paraId="5646D872" w14:textId="5F9F37A0" w:rsidTr="007A0424">
        <w:trPr>
          <w:trHeight w:val="402"/>
          <w:jc w:val="center"/>
        </w:trPr>
        <w:tc>
          <w:tcPr>
            <w:tcW w:w="814" w:type="dxa"/>
            <w:vMerge/>
            <w:vAlign w:val="center"/>
          </w:tcPr>
          <w:p w14:paraId="00BCF083"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c>
          <w:tcPr>
            <w:tcW w:w="688" w:type="dxa"/>
            <w:vMerge/>
            <w:vAlign w:val="center"/>
          </w:tcPr>
          <w:p w14:paraId="6B637E9F"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c>
          <w:tcPr>
            <w:tcW w:w="625" w:type="dxa"/>
            <w:vMerge/>
            <w:vAlign w:val="center"/>
          </w:tcPr>
          <w:p w14:paraId="62FD79F8"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c>
          <w:tcPr>
            <w:tcW w:w="688" w:type="dxa"/>
            <w:vMerge/>
            <w:vAlign w:val="center"/>
          </w:tcPr>
          <w:p w14:paraId="313D0D2A"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c>
          <w:tcPr>
            <w:tcW w:w="683" w:type="dxa"/>
            <w:vMerge/>
            <w:vAlign w:val="center"/>
          </w:tcPr>
          <w:p w14:paraId="0E2ED795"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c>
          <w:tcPr>
            <w:tcW w:w="1098" w:type="dxa"/>
            <w:vMerge/>
            <w:vAlign w:val="center"/>
          </w:tcPr>
          <w:p w14:paraId="36112202"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c>
          <w:tcPr>
            <w:tcW w:w="757" w:type="dxa"/>
            <w:vMerge/>
            <w:vAlign w:val="center"/>
          </w:tcPr>
          <w:p w14:paraId="4A526704"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c>
          <w:tcPr>
            <w:tcW w:w="888" w:type="dxa"/>
            <w:tcBorders>
              <w:top w:val="nil"/>
              <w:bottom w:val="nil"/>
            </w:tcBorders>
            <w:vAlign w:val="center"/>
          </w:tcPr>
          <w:p w14:paraId="3A8EE884" w14:textId="08C38C78" w:rsidR="007A2807" w:rsidRPr="00525124" w:rsidRDefault="007A2807"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lang w:val="en-IN"/>
              </w:rPr>
              <w:t>6</w:t>
            </w:r>
          </w:p>
        </w:tc>
        <w:tc>
          <w:tcPr>
            <w:tcW w:w="970" w:type="dxa"/>
            <w:tcBorders>
              <w:top w:val="nil"/>
              <w:bottom w:val="nil"/>
            </w:tcBorders>
            <w:vAlign w:val="center"/>
          </w:tcPr>
          <w:p w14:paraId="157B90D4" w14:textId="779CA396" w:rsidR="007A2807" w:rsidRPr="00525124" w:rsidRDefault="007A2807"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rPr>
              <w:t>3.63</w:t>
            </w:r>
          </w:p>
        </w:tc>
        <w:tc>
          <w:tcPr>
            <w:tcW w:w="930" w:type="dxa"/>
            <w:tcBorders>
              <w:top w:val="nil"/>
              <w:bottom w:val="nil"/>
            </w:tcBorders>
            <w:vAlign w:val="center"/>
          </w:tcPr>
          <w:p w14:paraId="3238083D" w14:textId="567648F4" w:rsidR="007A2807" w:rsidRPr="00525124" w:rsidRDefault="007A2807"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rPr>
              <w:t>2.64</w:t>
            </w:r>
          </w:p>
        </w:tc>
        <w:tc>
          <w:tcPr>
            <w:tcW w:w="937" w:type="dxa"/>
            <w:tcBorders>
              <w:top w:val="nil"/>
              <w:bottom w:val="nil"/>
            </w:tcBorders>
            <w:vAlign w:val="center"/>
          </w:tcPr>
          <w:p w14:paraId="5DEB522F" w14:textId="5E761D91" w:rsidR="007A2807" w:rsidRPr="00525124" w:rsidRDefault="007A2807"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rPr>
              <w:t>98.64</w:t>
            </w:r>
          </w:p>
        </w:tc>
        <w:tc>
          <w:tcPr>
            <w:tcW w:w="884" w:type="dxa"/>
            <w:vMerge/>
            <w:vAlign w:val="center"/>
          </w:tcPr>
          <w:p w14:paraId="778EBEB6"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r>
      <w:tr w:rsidR="00D37D47" w:rsidRPr="00525124" w14:paraId="35571858" w14:textId="18B81D70" w:rsidTr="007A0424">
        <w:trPr>
          <w:trHeight w:val="402"/>
          <w:jc w:val="center"/>
        </w:trPr>
        <w:tc>
          <w:tcPr>
            <w:tcW w:w="814" w:type="dxa"/>
            <w:vMerge/>
            <w:vAlign w:val="center"/>
          </w:tcPr>
          <w:p w14:paraId="76EA7F01"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c>
          <w:tcPr>
            <w:tcW w:w="688" w:type="dxa"/>
            <w:vMerge/>
            <w:vAlign w:val="center"/>
          </w:tcPr>
          <w:p w14:paraId="1D17314B"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c>
          <w:tcPr>
            <w:tcW w:w="625" w:type="dxa"/>
            <w:vMerge/>
            <w:vAlign w:val="center"/>
          </w:tcPr>
          <w:p w14:paraId="1DCABB54"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c>
          <w:tcPr>
            <w:tcW w:w="688" w:type="dxa"/>
            <w:vMerge/>
            <w:vAlign w:val="center"/>
          </w:tcPr>
          <w:p w14:paraId="05813805"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c>
          <w:tcPr>
            <w:tcW w:w="683" w:type="dxa"/>
            <w:vMerge/>
            <w:vAlign w:val="center"/>
          </w:tcPr>
          <w:p w14:paraId="494EDBA0"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c>
          <w:tcPr>
            <w:tcW w:w="1098" w:type="dxa"/>
            <w:vMerge/>
            <w:vAlign w:val="center"/>
          </w:tcPr>
          <w:p w14:paraId="714C71B9"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c>
          <w:tcPr>
            <w:tcW w:w="757" w:type="dxa"/>
            <w:vMerge/>
            <w:vAlign w:val="center"/>
          </w:tcPr>
          <w:p w14:paraId="1CB3B5ED"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c>
          <w:tcPr>
            <w:tcW w:w="888" w:type="dxa"/>
            <w:tcBorders>
              <w:top w:val="nil"/>
            </w:tcBorders>
            <w:vAlign w:val="center"/>
          </w:tcPr>
          <w:p w14:paraId="5FD85465" w14:textId="0349DB95" w:rsidR="007A2807" w:rsidRPr="00525124" w:rsidRDefault="007A2807"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lang w:val="en-IN"/>
              </w:rPr>
              <w:t>10</w:t>
            </w:r>
          </w:p>
        </w:tc>
        <w:tc>
          <w:tcPr>
            <w:tcW w:w="970" w:type="dxa"/>
            <w:tcBorders>
              <w:top w:val="nil"/>
            </w:tcBorders>
            <w:vAlign w:val="center"/>
          </w:tcPr>
          <w:p w14:paraId="1CFAE979" w14:textId="41CAEC8E" w:rsidR="007A2807" w:rsidRPr="00525124" w:rsidRDefault="007A2807"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rPr>
              <w:t>0.63</w:t>
            </w:r>
          </w:p>
        </w:tc>
        <w:tc>
          <w:tcPr>
            <w:tcW w:w="930" w:type="dxa"/>
            <w:tcBorders>
              <w:top w:val="nil"/>
            </w:tcBorders>
            <w:vAlign w:val="center"/>
          </w:tcPr>
          <w:p w14:paraId="78626E27" w14:textId="7F5202F4" w:rsidR="007A2807" w:rsidRPr="00525124" w:rsidRDefault="007A2807"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rPr>
              <w:t>6.97</w:t>
            </w:r>
          </w:p>
        </w:tc>
        <w:tc>
          <w:tcPr>
            <w:tcW w:w="937" w:type="dxa"/>
            <w:tcBorders>
              <w:top w:val="nil"/>
            </w:tcBorders>
            <w:vAlign w:val="center"/>
          </w:tcPr>
          <w:p w14:paraId="0E60C3BB" w14:textId="1E358C25" w:rsidR="007A2807" w:rsidRPr="00525124" w:rsidRDefault="007A2807" w:rsidP="00977C56">
            <w:pPr>
              <w:spacing w:line="360" w:lineRule="auto"/>
              <w:jc w:val="center"/>
              <w:rPr>
                <w:rFonts w:ascii="Times New Roman" w:hAnsi="Times New Roman" w:cs="Times New Roman"/>
                <w:sz w:val="18"/>
                <w:szCs w:val="18"/>
                <w:lang w:val="en-IN"/>
              </w:rPr>
            </w:pPr>
            <w:r w:rsidRPr="00525124">
              <w:rPr>
                <w:rFonts w:ascii="Times New Roman" w:hAnsi="Times New Roman" w:cs="Times New Roman"/>
                <w:sz w:val="18"/>
                <w:szCs w:val="18"/>
              </w:rPr>
              <w:t>99.29</w:t>
            </w:r>
          </w:p>
        </w:tc>
        <w:tc>
          <w:tcPr>
            <w:tcW w:w="884" w:type="dxa"/>
            <w:vMerge/>
            <w:vAlign w:val="center"/>
          </w:tcPr>
          <w:p w14:paraId="75048C47" w14:textId="77777777" w:rsidR="007A2807" w:rsidRPr="00525124" w:rsidRDefault="007A2807" w:rsidP="00977C56">
            <w:pPr>
              <w:spacing w:line="360" w:lineRule="auto"/>
              <w:jc w:val="center"/>
              <w:rPr>
                <w:rFonts w:ascii="Times New Roman" w:hAnsi="Times New Roman" w:cs="Times New Roman"/>
                <w:b/>
                <w:bCs/>
                <w:sz w:val="18"/>
                <w:szCs w:val="18"/>
                <w:lang w:val="en-IN"/>
              </w:rPr>
            </w:pPr>
          </w:p>
        </w:tc>
      </w:tr>
    </w:tbl>
    <w:p w14:paraId="45A4BB8D" w14:textId="77777777" w:rsidR="00F15204" w:rsidRDefault="00F15204" w:rsidP="00E97634">
      <w:pPr>
        <w:spacing w:after="0" w:line="360" w:lineRule="auto"/>
        <w:jc w:val="both"/>
        <w:rPr>
          <w:rFonts w:ascii="Times New Roman" w:hAnsi="Times New Roman" w:cs="Times New Roman"/>
          <w:b/>
          <w:bCs/>
          <w:sz w:val="24"/>
          <w:szCs w:val="24"/>
          <w:lang w:val="en-IN"/>
        </w:rPr>
      </w:pPr>
    </w:p>
    <w:p w14:paraId="199CDAEE" w14:textId="77777777" w:rsidR="00C8496B" w:rsidRDefault="00C8496B" w:rsidP="00F20612">
      <w:pPr>
        <w:spacing w:after="0" w:line="360" w:lineRule="auto"/>
        <w:ind w:left="-142" w:right="-177"/>
        <w:jc w:val="center"/>
        <w:rPr>
          <w:rFonts w:ascii="Times New Roman" w:hAnsi="Times New Roman" w:cs="Times New Roman"/>
          <w:b/>
          <w:bCs/>
          <w:sz w:val="24"/>
          <w:szCs w:val="24"/>
          <w:lang w:val="en-IN"/>
        </w:rPr>
      </w:pPr>
    </w:p>
    <w:p w14:paraId="7C7CB8D7" w14:textId="5F389AF0" w:rsidR="00F20612" w:rsidRDefault="00A920A9" w:rsidP="00F20612">
      <w:pPr>
        <w:spacing w:after="0" w:line="360" w:lineRule="auto"/>
        <w:ind w:left="-142" w:right="-177"/>
        <w:jc w:val="center"/>
        <w:rPr>
          <w:rFonts w:ascii="Times New Roman" w:hAnsi="Times New Roman" w:cs="Times New Roman"/>
          <w:b/>
          <w:bCs/>
          <w:sz w:val="24"/>
          <w:szCs w:val="24"/>
          <w:lang w:val="en-IN"/>
        </w:rPr>
      </w:pPr>
      <w:r>
        <w:rPr>
          <w:noProof/>
          <w:lang w:bidi="hi-IN"/>
        </w:rPr>
        <w:lastRenderedPageBreak/>
        <w:drawing>
          <wp:inline distT="0" distB="0" distL="0" distR="0" wp14:anchorId="46CC9832" wp14:editId="5A54F004">
            <wp:extent cx="3116580" cy="2743200"/>
            <wp:effectExtent l="0" t="0" r="0" b="0"/>
            <wp:docPr id="1946048179" name="Chart 1">
              <a:extLst xmlns:a="http://schemas.openxmlformats.org/drawingml/2006/main">
                <a:ext uri="{FF2B5EF4-FFF2-40B4-BE49-F238E27FC236}">
                  <a16:creationId xmlns:a16="http://schemas.microsoft.com/office/drawing/2014/main" id="{9C0DFB04-9816-8C56-6CB6-68FE59EAB0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Pr>
          <w:rFonts w:ascii="Times New Roman" w:hAnsi="Times New Roman" w:cs="Times New Roman"/>
          <w:b/>
          <w:bCs/>
          <w:sz w:val="24"/>
          <w:szCs w:val="24"/>
          <w:lang w:val="en-IN"/>
        </w:rPr>
        <w:t xml:space="preserve">  </w:t>
      </w:r>
      <w:r>
        <w:rPr>
          <w:noProof/>
          <w:lang w:bidi="hi-IN"/>
        </w:rPr>
        <w:drawing>
          <wp:inline distT="0" distB="0" distL="0" distR="0" wp14:anchorId="294AD83B" wp14:editId="67E8171A">
            <wp:extent cx="3101340" cy="2743200"/>
            <wp:effectExtent l="0" t="0" r="0" b="0"/>
            <wp:docPr id="1356130354" name="Chart 1">
              <a:extLst xmlns:a="http://schemas.openxmlformats.org/drawingml/2006/main">
                <a:ext uri="{FF2B5EF4-FFF2-40B4-BE49-F238E27FC236}">
                  <a16:creationId xmlns:a16="http://schemas.microsoft.com/office/drawing/2014/main" id="{867462BE-45EB-4739-AD5A-9A1565B9E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898D22A" w14:textId="77777777" w:rsidR="0005075E" w:rsidRDefault="0005075E" w:rsidP="00F20612">
      <w:pPr>
        <w:spacing w:after="0" w:line="360" w:lineRule="auto"/>
        <w:ind w:left="-142" w:right="-177"/>
        <w:jc w:val="center"/>
        <w:rPr>
          <w:rFonts w:ascii="Times New Roman" w:hAnsi="Times New Roman" w:cs="Times New Roman"/>
          <w:b/>
          <w:bCs/>
          <w:sz w:val="24"/>
          <w:szCs w:val="24"/>
          <w:lang w:val="en-IN"/>
        </w:rPr>
      </w:pPr>
    </w:p>
    <w:p w14:paraId="6DFC308A" w14:textId="77777777" w:rsidR="0005075E" w:rsidRDefault="0005075E" w:rsidP="00F20612">
      <w:pPr>
        <w:spacing w:after="0" w:line="360" w:lineRule="auto"/>
        <w:ind w:left="-142" w:right="-177"/>
        <w:jc w:val="center"/>
        <w:rPr>
          <w:rFonts w:ascii="Times New Roman" w:hAnsi="Times New Roman" w:cs="Times New Roman"/>
          <w:b/>
          <w:bCs/>
          <w:sz w:val="24"/>
          <w:szCs w:val="24"/>
          <w:lang w:val="en-IN"/>
        </w:rPr>
      </w:pPr>
    </w:p>
    <w:p w14:paraId="52F559A5" w14:textId="017D4FB9" w:rsidR="00A920A9" w:rsidRDefault="00A920A9" w:rsidP="00A920A9">
      <w:pPr>
        <w:spacing w:after="0" w:line="360" w:lineRule="auto"/>
        <w:ind w:left="-142" w:right="-602"/>
        <w:jc w:val="center"/>
        <w:rPr>
          <w:rFonts w:ascii="Times New Roman" w:hAnsi="Times New Roman" w:cs="Times New Roman"/>
          <w:b/>
          <w:bCs/>
          <w:sz w:val="24"/>
          <w:szCs w:val="24"/>
          <w:lang w:val="en-IN"/>
        </w:rPr>
      </w:pPr>
      <w:r>
        <w:rPr>
          <w:noProof/>
          <w:lang w:bidi="hi-IN"/>
        </w:rPr>
        <w:drawing>
          <wp:inline distT="0" distB="0" distL="0" distR="0" wp14:anchorId="3F682E85" wp14:editId="6B7CAF55">
            <wp:extent cx="3139440" cy="2741295"/>
            <wp:effectExtent l="0" t="0" r="0" b="0"/>
            <wp:docPr id="1117711285" name="Chart 1">
              <a:extLst xmlns:a="http://schemas.openxmlformats.org/drawingml/2006/main">
                <a:ext uri="{FF2B5EF4-FFF2-40B4-BE49-F238E27FC236}">
                  <a16:creationId xmlns:a16="http://schemas.microsoft.com/office/drawing/2014/main" id="{0D755BF6-D970-8126-48AB-34C3319940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E2E1660" w14:textId="77777777" w:rsidR="00F20612" w:rsidRDefault="00F20612" w:rsidP="00A920A9">
      <w:pPr>
        <w:spacing w:after="0" w:line="360" w:lineRule="auto"/>
        <w:ind w:left="-142" w:right="-602"/>
        <w:jc w:val="center"/>
        <w:rPr>
          <w:rFonts w:ascii="Times New Roman" w:hAnsi="Times New Roman" w:cs="Times New Roman"/>
          <w:b/>
          <w:bCs/>
          <w:sz w:val="24"/>
          <w:szCs w:val="24"/>
          <w:lang w:val="en-IN"/>
        </w:rPr>
      </w:pPr>
    </w:p>
    <w:p w14:paraId="62C1005F" w14:textId="360BF1B1" w:rsidR="00F20612" w:rsidRPr="00F20612" w:rsidRDefault="00F20612" w:rsidP="00A920A9">
      <w:pPr>
        <w:spacing w:after="0" w:line="360" w:lineRule="auto"/>
        <w:ind w:left="-142" w:right="-602"/>
        <w:jc w:val="center"/>
        <w:rPr>
          <w:rFonts w:ascii="Times New Roman" w:hAnsi="Times New Roman" w:cs="Times New Roman"/>
          <w:sz w:val="24"/>
          <w:szCs w:val="24"/>
          <w:lang w:val="en-IN"/>
        </w:rPr>
      </w:pPr>
      <w:r w:rsidRPr="00F20612">
        <w:rPr>
          <w:rFonts w:ascii="Times New Roman" w:hAnsi="Times New Roman" w:cs="Times New Roman"/>
          <w:sz w:val="24"/>
          <w:szCs w:val="24"/>
          <w:lang w:val="en-IN"/>
        </w:rPr>
        <w:t>Figure</w:t>
      </w:r>
      <w:r>
        <w:rPr>
          <w:rFonts w:ascii="Times New Roman" w:hAnsi="Times New Roman" w:cs="Times New Roman"/>
          <w:sz w:val="24"/>
          <w:szCs w:val="24"/>
          <w:lang w:val="en-IN"/>
        </w:rPr>
        <w:t xml:space="preserve"> 1</w:t>
      </w:r>
      <w:r w:rsidR="0070640D">
        <w:rPr>
          <w:rFonts w:ascii="Times New Roman" w:hAnsi="Times New Roman" w:cs="Times New Roman"/>
          <w:sz w:val="24"/>
          <w:szCs w:val="24"/>
          <w:lang w:val="en-IN"/>
        </w:rPr>
        <w:t>3</w:t>
      </w:r>
      <w:r>
        <w:rPr>
          <w:rFonts w:ascii="Times New Roman" w:hAnsi="Times New Roman" w:cs="Times New Roman"/>
          <w:sz w:val="24"/>
          <w:szCs w:val="24"/>
          <w:lang w:val="en-IN"/>
        </w:rPr>
        <w:t>: Calibration curve (a) blood, (b) urine, and (c) pill samples.</w:t>
      </w:r>
    </w:p>
    <w:p w14:paraId="23A84C00" w14:textId="77777777" w:rsidR="00A920A9" w:rsidRDefault="00A920A9" w:rsidP="00A920A9">
      <w:pPr>
        <w:spacing w:after="0" w:line="360" w:lineRule="auto"/>
        <w:ind w:left="-142" w:right="-602"/>
        <w:jc w:val="both"/>
        <w:rPr>
          <w:rFonts w:ascii="Times New Roman" w:hAnsi="Times New Roman" w:cs="Times New Roman"/>
          <w:b/>
          <w:bCs/>
          <w:sz w:val="24"/>
          <w:szCs w:val="24"/>
          <w:lang w:val="en-IN"/>
        </w:rPr>
      </w:pPr>
    </w:p>
    <w:p w14:paraId="13964FFA" w14:textId="77777777" w:rsidR="006F7E82" w:rsidRDefault="006F7E82" w:rsidP="00A920A9">
      <w:pPr>
        <w:spacing w:after="0" w:line="360" w:lineRule="auto"/>
        <w:ind w:left="-142" w:right="-602"/>
        <w:jc w:val="both"/>
        <w:rPr>
          <w:rFonts w:ascii="Times New Roman" w:hAnsi="Times New Roman" w:cs="Times New Roman"/>
          <w:b/>
          <w:bCs/>
          <w:sz w:val="24"/>
          <w:szCs w:val="24"/>
          <w:lang w:val="en-IN"/>
        </w:rPr>
      </w:pPr>
    </w:p>
    <w:p w14:paraId="61351C6F" w14:textId="77777777" w:rsidR="006F7E82" w:rsidRDefault="006F7E82" w:rsidP="00A920A9">
      <w:pPr>
        <w:spacing w:after="0" w:line="360" w:lineRule="auto"/>
        <w:ind w:left="-142" w:right="-602"/>
        <w:jc w:val="both"/>
        <w:rPr>
          <w:rFonts w:ascii="Times New Roman" w:hAnsi="Times New Roman" w:cs="Times New Roman"/>
          <w:b/>
          <w:bCs/>
          <w:sz w:val="24"/>
          <w:szCs w:val="24"/>
          <w:lang w:val="en-IN"/>
        </w:rPr>
      </w:pPr>
    </w:p>
    <w:p w14:paraId="44D1BF6D" w14:textId="77777777" w:rsidR="006F7E82" w:rsidRDefault="006F7E82" w:rsidP="00A920A9">
      <w:pPr>
        <w:spacing w:after="0" w:line="360" w:lineRule="auto"/>
        <w:ind w:left="-142" w:right="-602"/>
        <w:jc w:val="both"/>
        <w:rPr>
          <w:rFonts w:ascii="Times New Roman" w:hAnsi="Times New Roman" w:cs="Times New Roman"/>
          <w:b/>
          <w:bCs/>
          <w:sz w:val="24"/>
          <w:szCs w:val="24"/>
          <w:lang w:val="en-IN"/>
        </w:rPr>
      </w:pPr>
    </w:p>
    <w:p w14:paraId="1226060C" w14:textId="5517FB86" w:rsidR="00751106" w:rsidRDefault="00751106" w:rsidP="00E97634">
      <w:pPr>
        <w:spacing w:after="0" w:line="360" w:lineRule="auto"/>
        <w:jc w:val="both"/>
        <w:rPr>
          <w:rFonts w:ascii="Times New Roman" w:hAnsi="Times New Roman" w:cs="Times New Roman"/>
          <w:b/>
          <w:bCs/>
          <w:sz w:val="24"/>
          <w:szCs w:val="24"/>
          <w:lang w:val="en-IN"/>
        </w:rPr>
      </w:pPr>
      <w:r w:rsidRPr="00062C20">
        <w:rPr>
          <w:rFonts w:ascii="Times New Roman" w:hAnsi="Times New Roman" w:cs="Times New Roman"/>
          <w:b/>
          <w:bCs/>
          <w:sz w:val="24"/>
          <w:szCs w:val="24"/>
          <w:lang w:val="en-IN"/>
        </w:rPr>
        <w:lastRenderedPageBreak/>
        <w:t>3.</w:t>
      </w:r>
      <w:r w:rsidR="000472A5">
        <w:rPr>
          <w:rFonts w:ascii="Times New Roman" w:hAnsi="Times New Roman" w:cs="Times New Roman"/>
          <w:b/>
          <w:bCs/>
          <w:sz w:val="24"/>
          <w:szCs w:val="24"/>
          <w:lang w:val="en-IN"/>
        </w:rPr>
        <w:t>3</w:t>
      </w:r>
      <w:r w:rsidR="0083677A" w:rsidRPr="00062C20">
        <w:rPr>
          <w:rFonts w:ascii="Times New Roman" w:hAnsi="Times New Roman" w:cs="Times New Roman"/>
          <w:b/>
          <w:bCs/>
          <w:sz w:val="24"/>
          <w:szCs w:val="24"/>
          <w:lang w:val="en-IN"/>
        </w:rPr>
        <w:t>.</w:t>
      </w:r>
      <w:r w:rsidRPr="00062C20">
        <w:rPr>
          <w:rFonts w:ascii="Times New Roman" w:hAnsi="Times New Roman" w:cs="Times New Roman"/>
          <w:b/>
          <w:bCs/>
          <w:sz w:val="24"/>
          <w:szCs w:val="24"/>
          <w:lang w:val="en-IN"/>
        </w:rPr>
        <w:t xml:space="preserve"> Greenness characteristics:</w:t>
      </w:r>
    </w:p>
    <w:p w14:paraId="28113002" w14:textId="2925A48B" w:rsidR="001563B3" w:rsidRDefault="00A8078A" w:rsidP="00E97634">
      <w:pPr>
        <w:spacing w:after="0" w:line="360" w:lineRule="auto"/>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Complex</w:t>
      </w:r>
      <w:r w:rsidR="00560A07">
        <w:rPr>
          <w:rFonts w:ascii="Times New Roman" w:hAnsi="Times New Roman" w:cs="Times New Roman"/>
          <w:b/>
          <w:bCs/>
          <w:sz w:val="24"/>
          <w:szCs w:val="24"/>
          <w:lang w:val="en-IN"/>
        </w:rPr>
        <w:t xml:space="preserve"> </w:t>
      </w:r>
      <w:r>
        <w:rPr>
          <w:rFonts w:ascii="Times New Roman" w:hAnsi="Times New Roman" w:cs="Times New Roman"/>
          <w:b/>
          <w:bCs/>
          <w:sz w:val="24"/>
          <w:szCs w:val="24"/>
          <w:lang w:val="en-IN"/>
        </w:rPr>
        <w:t>GAPI</w:t>
      </w:r>
      <w:r w:rsidR="00560A07">
        <w:rPr>
          <w:rFonts w:ascii="Times New Roman" w:hAnsi="Times New Roman" w:cs="Times New Roman"/>
          <w:b/>
          <w:bCs/>
          <w:sz w:val="24"/>
          <w:szCs w:val="24"/>
          <w:lang w:val="en-IN"/>
        </w:rPr>
        <w:t>:</w:t>
      </w:r>
    </w:p>
    <w:p w14:paraId="5FEE4704" w14:textId="24262B09" w:rsidR="00A8078A" w:rsidRPr="00A8078A" w:rsidRDefault="00A8078A" w:rsidP="00A8078A">
      <w:pPr>
        <w:spacing w:after="0" w:line="360" w:lineRule="auto"/>
        <w:jc w:val="both"/>
        <w:rPr>
          <w:rFonts w:ascii="Times New Roman" w:hAnsi="Times New Roman" w:cs="Times New Roman"/>
          <w:sz w:val="24"/>
          <w:szCs w:val="24"/>
          <w:lang w:val="en-IN"/>
        </w:rPr>
      </w:pPr>
      <w:r w:rsidRPr="00A8078A">
        <w:rPr>
          <w:rFonts w:ascii="Times New Roman" w:hAnsi="Times New Roman" w:cs="Times New Roman"/>
          <w:sz w:val="24"/>
          <w:szCs w:val="24"/>
          <w:lang w:val="en-IN"/>
        </w:rPr>
        <w:t>Complex</w:t>
      </w:r>
      <w:r w:rsidR="00560A07">
        <w:rPr>
          <w:rFonts w:ascii="Times New Roman" w:hAnsi="Times New Roman" w:cs="Times New Roman"/>
          <w:sz w:val="24"/>
          <w:szCs w:val="24"/>
          <w:lang w:val="en-IN"/>
        </w:rPr>
        <w:t xml:space="preserve"> </w:t>
      </w:r>
      <w:r w:rsidRPr="00A8078A">
        <w:rPr>
          <w:rFonts w:ascii="Times New Roman" w:hAnsi="Times New Roman" w:cs="Times New Roman"/>
          <w:sz w:val="24"/>
          <w:szCs w:val="24"/>
          <w:lang w:val="en-IN"/>
        </w:rPr>
        <w:t xml:space="preserve">GAPI </w:t>
      </w:r>
      <w:r>
        <w:rPr>
          <w:rFonts w:ascii="Times New Roman" w:hAnsi="Times New Roman" w:cs="Times New Roman"/>
          <w:sz w:val="24"/>
          <w:szCs w:val="24"/>
          <w:lang w:val="en-IN"/>
        </w:rPr>
        <w:t xml:space="preserve">(Complex Green Analytical Procedure Index) </w:t>
      </w:r>
      <w:r w:rsidRPr="00A8078A">
        <w:rPr>
          <w:rFonts w:ascii="Times New Roman" w:hAnsi="Times New Roman" w:cs="Times New Roman"/>
          <w:sz w:val="24"/>
          <w:szCs w:val="24"/>
          <w:lang w:val="en-IN"/>
        </w:rPr>
        <w:t>is an advanced version of the Green Analytical Procedure Index (GAPI), designed to provide a more comprehensive evaluation of the greenness of analytical methods. It builds upon the original GAPI framework by adding a hexagonal component to assess the sustainability of procedures before sample processing and final analysis.</w:t>
      </w:r>
      <w:r>
        <w:rPr>
          <w:rFonts w:ascii="Times New Roman" w:hAnsi="Times New Roman" w:cs="Times New Roman"/>
          <w:sz w:val="24"/>
          <w:szCs w:val="24"/>
          <w:lang w:val="en-IN"/>
        </w:rPr>
        <w:t xml:space="preserve"> The k</w:t>
      </w:r>
      <w:r w:rsidRPr="00A8078A">
        <w:rPr>
          <w:rFonts w:ascii="Times New Roman" w:hAnsi="Times New Roman" w:cs="Times New Roman"/>
          <w:sz w:val="24"/>
          <w:szCs w:val="24"/>
          <w:lang w:val="en-IN"/>
        </w:rPr>
        <w:t xml:space="preserve">ey </w:t>
      </w:r>
      <w:r>
        <w:rPr>
          <w:rFonts w:ascii="Times New Roman" w:hAnsi="Times New Roman" w:cs="Times New Roman"/>
          <w:sz w:val="24"/>
          <w:szCs w:val="24"/>
          <w:lang w:val="en-IN"/>
        </w:rPr>
        <w:t>f</w:t>
      </w:r>
      <w:r w:rsidRPr="00A8078A">
        <w:rPr>
          <w:rFonts w:ascii="Times New Roman" w:hAnsi="Times New Roman" w:cs="Times New Roman"/>
          <w:sz w:val="24"/>
          <w:szCs w:val="24"/>
          <w:lang w:val="en-IN"/>
        </w:rPr>
        <w:t xml:space="preserve">eatures of </w:t>
      </w:r>
      <w:proofErr w:type="spellStart"/>
      <w:r w:rsidRPr="00A8078A">
        <w:rPr>
          <w:rFonts w:ascii="Times New Roman" w:hAnsi="Times New Roman" w:cs="Times New Roman"/>
          <w:sz w:val="24"/>
          <w:szCs w:val="24"/>
          <w:lang w:val="en-IN"/>
        </w:rPr>
        <w:t>ComplexGAPI</w:t>
      </w:r>
      <w:proofErr w:type="spellEnd"/>
      <w:r>
        <w:rPr>
          <w:rFonts w:ascii="Times New Roman" w:hAnsi="Times New Roman" w:cs="Times New Roman"/>
          <w:sz w:val="24"/>
          <w:szCs w:val="24"/>
          <w:lang w:val="en-IN"/>
        </w:rPr>
        <w:t xml:space="preserve"> are as follows: </w:t>
      </w:r>
    </w:p>
    <w:p w14:paraId="4C9047F6" w14:textId="15C02AF5" w:rsidR="00A8078A" w:rsidRPr="00A8078A" w:rsidRDefault="00A8078A" w:rsidP="00A8078A">
      <w:pPr>
        <w:pStyle w:val="ListParagraph"/>
        <w:numPr>
          <w:ilvl w:val="0"/>
          <w:numId w:val="8"/>
        </w:numPr>
        <w:spacing w:after="0" w:line="360" w:lineRule="auto"/>
        <w:ind w:left="426"/>
        <w:jc w:val="both"/>
        <w:rPr>
          <w:rFonts w:ascii="Times New Roman" w:hAnsi="Times New Roman" w:cs="Times New Roman"/>
          <w:sz w:val="24"/>
          <w:szCs w:val="24"/>
          <w:lang w:val="en-IN"/>
        </w:rPr>
      </w:pPr>
      <w:r w:rsidRPr="00A8078A">
        <w:rPr>
          <w:rFonts w:ascii="Times New Roman" w:hAnsi="Times New Roman" w:cs="Times New Roman"/>
          <w:sz w:val="24"/>
          <w:szCs w:val="24"/>
          <w:lang w:val="en-IN"/>
        </w:rPr>
        <w:t>Expanded Evaluation Scope: Includes additional criteria to assess the greenness of pre-sample processing steps, such as yield, reaction conditions, reagent and solvent hazards, instrumentation energy consumption, occupational risks, purification, waste management, and alignment with green economy principles.</w:t>
      </w:r>
    </w:p>
    <w:p w14:paraId="7004D477" w14:textId="1D9D1ABC" w:rsidR="00A8078A" w:rsidRPr="00A8078A" w:rsidRDefault="00A8078A" w:rsidP="00A8078A">
      <w:pPr>
        <w:pStyle w:val="ListParagraph"/>
        <w:numPr>
          <w:ilvl w:val="0"/>
          <w:numId w:val="8"/>
        </w:numPr>
        <w:spacing w:after="0" w:line="360" w:lineRule="auto"/>
        <w:ind w:left="426"/>
        <w:jc w:val="both"/>
        <w:rPr>
          <w:rFonts w:ascii="Times New Roman" w:hAnsi="Times New Roman" w:cs="Times New Roman"/>
          <w:sz w:val="24"/>
          <w:szCs w:val="24"/>
          <w:lang w:val="en-IN"/>
        </w:rPr>
      </w:pPr>
      <w:r w:rsidRPr="00A8078A">
        <w:rPr>
          <w:rFonts w:ascii="Times New Roman" w:hAnsi="Times New Roman" w:cs="Times New Roman"/>
          <w:sz w:val="24"/>
          <w:szCs w:val="24"/>
          <w:lang w:val="en-IN"/>
        </w:rPr>
        <w:t>Hexagonal Pictogram: Adds a visual representation to the original GAPI pictogram, incorporating a hexagonal section to evaluate pre-sample processing aspects.</w:t>
      </w:r>
    </w:p>
    <w:p w14:paraId="75A6A393" w14:textId="2CFF26B9" w:rsidR="00A8078A" w:rsidRPr="00A8078A" w:rsidRDefault="00A8078A" w:rsidP="00A8078A">
      <w:pPr>
        <w:pStyle w:val="ListParagraph"/>
        <w:numPr>
          <w:ilvl w:val="0"/>
          <w:numId w:val="8"/>
        </w:numPr>
        <w:spacing w:after="0" w:line="360" w:lineRule="auto"/>
        <w:ind w:left="426"/>
        <w:jc w:val="both"/>
        <w:rPr>
          <w:rFonts w:ascii="Times New Roman" w:hAnsi="Times New Roman" w:cs="Times New Roman"/>
          <w:sz w:val="24"/>
          <w:szCs w:val="24"/>
          <w:lang w:val="en-IN"/>
        </w:rPr>
      </w:pPr>
      <w:r w:rsidRPr="00A8078A">
        <w:rPr>
          <w:rFonts w:ascii="Times New Roman" w:hAnsi="Times New Roman" w:cs="Times New Roman"/>
          <w:sz w:val="24"/>
          <w:szCs w:val="24"/>
          <w:lang w:val="en-IN"/>
        </w:rPr>
        <w:t>Comprehensive Assessment: Evaluates the entire workflow, from pre-synthesis to final analysis, ensuring a holistic view of the environmental impact and sustainability of analytical methods.</w:t>
      </w:r>
    </w:p>
    <w:p w14:paraId="7D8C70D8" w14:textId="0AA7EA8E" w:rsidR="00A8078A" w:rsidRPr="00A8078A" w:rsidRDefault="00A8078A" w:rsidP="00A8078A">
      <w:pPr>
        <w:pStyle w:val="ListParagraph"/>
        <w:numPr>
          <w:ilvl w:val="0"/>
          <w:numId w:val="8"/>
        </w:numPr>
        <w:spacing w:after="0" w:line="360" w:lineRule="auto"/>
        <w:ind w:left="426"/>
        <w:jc w:val="both"/>
        <w:rPr>
          <w:rFonts w:ascii="Times New Roman" w:hAnsi="Times New Roman" w:cs="Times New Roman"/>
          <w:sz w:val="24"/>
          <w:szCs w:val="24"/>
          <w:lang w:val="en-IN"/>
        </w:rPr>
      </w:pPr>
      <w:r w:rsidRPr="00A8078A">
        <w:rPr>
          <w:rFonts w:ascii="Times New Roman" w:hAnsi="Times New Roman" w:cs="Times New Roman"/>
          <w:sz w:val="24"/>
          <w:szCs w:val="24"/>
          <w:lang w:val="en-IN"/>
        </w:rPr>
        <w:t>Scoring System: Provides a total score for the method, enabling more accurate and objective comparisons between analytical procedures.</w:t>
      </w:r>
    </w:p>
    <w:p w14:paraId="57BE52E2" w14:textId="748FF879" w:rsidR="001563B3" w:rsidRDefault="00A8078A" w:rsidP="00A8078A">
      <w:p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The benefits of complex GAPI are to e</w:t>
      </w:r>
      <w:r w:rsidRPr="00A8078A">
        <w:rPr>
          <w:rFonts w:ascii="Times New Roman" w:hAnsi="Times New Roman" w:cs="Times New Roman"/>
          <w:sz w:val="24"/>
          <w:szCs w:val="24"/>
          <w:lang w:val="en-IN"/>
        </w:rPr>
        <w:t>ncourage the adoption of greener practices in analytical chemistry</w:t>
      </w:r>
      <w:r>
        <w:rPr>
          <w:rFonts w:ascii="Times New Roman" w:hAnsi="Times New Roman" w:cs="Times New Roman"/>
          <w:sz w:val="24"/>
          <w:szCs w:val="24"/>
          <w:lang w:val="en-IN"/>
        </w:rPr>
        <w:t>, to f</w:t>
      </w:r>
      <w:r w:rsidRPr="00A8078A">
        <w:rPr>
          <w:rFonts w:ascii="Times New Roman" w:hAnsi="Times New Roman" w:cs="Times New Roman"/>
          <w:sz w:val="24"/>
          <w:szCs w:val="24"/>
          <w:lang w:val="en-IN"/>
        </w:rPr>
        <w:t>acilitate the comparison of methods based on their environmental impact and sustainability</w:t>
      </w:r>
      <w:r>
        <w:rPr>
          <w:rFonts w:ascii="Times New Roman" w:hAnsi="Times New Roman" w:cs="Times New Roman"/>
          <w:sz w:val="24"/>
          <w:szCs w:val="24"/>
          <w:lang w:val="en-IN"/>
        </w:rPr>
        <w:t>, and to support</w:t>
      </w:r>
      <w:r w:rsidRPr="00A8078A">
        <w:rPr>
          <w:rFonts w:ascii="Times New Roman" w:hAnsi="Times New Roman" w:cs="Times New Roman"/>
          <w:sz w:val="24"/>
          <w:szCs w:val="24"/>
          <w:lang w:val="en-IN"/>
        </w:rPr>
        <w:t xml:space="preserve"> the development of more eco-friendly analytical techniques.</w:t>
      </w:r>
      <w:r>
        <w:rPr>
          <w:rFonts w:ascii="Times New Roman" w:hAnsi="Times New Roman" w:cs="Times New Roman"/>
          <w:sz w:val="24"/>
          <w:szCs w:val="24"/>
          <w:lang w:val="en-IN"/>
        </w:rPr>
        <w:t xml:space="preserve"> </w:t>
      </w:r>
      <w:proofErr w:type="spellStart"/>
      <w:r w:rsidRPr="00A8078A">
        <w:rPr>
          <w:rFonts w:ascii="Times New Roman" w:hAnsi="Times New Roman" w:cs="Times New Roman"/>
          <w:sz w:val="24"/>
          <w:szCs w:val="24"/>
          <w:lang w:val="en-IN"/>
        </w:rPr>
        <w:t>ComplexGAPI</w:t>
      </w:r>
      <w:proofErr w:type="spellEnd"/>
      <w:r w:rsidRPr="00A8078A">
        <w:rPr>
          <w:rFonts w:ascii="Times New Roman" w:hAnsi="Times New Roman" w:cs="Times New Roman"/>
          <w:sz w:val="24"/>
          <w:szCs w:val="24"/>
          <w:lang w:val="en-IN"/>
        </w:rPr>
        <w:t xml:space="preserve"> is particularly useful for researchers and professionals seeking to evaluate and improve the environmental sustainability of their analytical methods.</w:t>
      </w:r>
    </w:p>
    <w:p w14:paraId="6EB4C73A" w14:textId="77777777" w:rsidR="00DD2922" w:rsidRDefault="00DD2922" w:rsidP="00A8078A">
      <w:pPr>
        <w:spacing w:after="0" w:line="360" w:lineRule="auto"/>
        <w:jc w:val="both"/>
        <w:rPr>
          <w:rFonts w:ascii="Times New Roman" w:hAnsi="Times New Roman" w:cs="Times New Roman"/>
          <w:sz w:val="24"/>
          <w:szCs w:val="24"/>
          <w:lang w:val="en-IN"/>
        </w:rPr>
      </w:pPr>
    </w:p>
    <w:p w14:paraId="0670174D" w14:textId="3AF07CFF" w:rsidR="00DD2922" w:rsidRPr="00DD2922" w:rsidRDefault="00DD2922" w:rsidP="00A8078A">
      <w:pPr>
        <w:spacing w:after="0" w:line="360" w:lineRule="auto"/>
        <w:jc w:val="both"/>
        <w:rPr>
          <w:rFonts w:ascii="Times New Roman" w:hAnsi="Times New Roman" w:cs="Times New Roman"/>
          <w:b/>
          <w:bCs/>
          <w:sz w:val="24"/>
          <w:szCs w:val="24"/>
          <w:lang w:val="en-IN"/>
        </w:rPr>
      </w:pPr>
      <w:r w:rsidRPr="00DD2922">
        <w:rPr>
          <w:rFonts w:ascii="Times New Roman" w:hAnsi="Times New Roman" w:cs="Times New Roman"/>
          <w:b/>
          <w:bCs/>
          <w:sz w:val="24"/>
          <w:szCs w:val="24"/>
          <w:lang w:val="en-IN"/>
        </w:rPr>
        <w:t>AGREE:</w:t>
      </w:r>
    </w:p>
    <w:p w14:paraId="1240DD57" w14:textId="5D78069B" w:rsidR="001C4804" w:rsidRDefault="0070640D" w:rsidP="0070640D">
      <w:p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AGREE (Analytical Greenness calculator) </w:t>
      </w:r>
      <w:r w:rsidRPr="0070640D">
        <w:rPr>
          <w:rFonts w:ascii="Times New Roman" w:hAnsi="Times New Roman" w:cs="Times New Roman"/>
          <w:sz w:val="24"/>
          <w:szCs w:val="24"/>
          <w:lang w:val="en-IN"/>
        </w:rPr>
        <w:t>is a tool designed to evaluate the greenness of analytical procedures based on the 12 principles of Green Analytical Chemistry (GAC)</w:t>
      </w:r>
      <w:r>
        <w:rPr>
          <w:rFonts w:ascii="Times New Roman" w:hAnsi="Times New Roman" w:cs="Times New Roman"/>
          <w:sz w:val="24"/>
          <w:szCs w:val="24"/>
          <w:lang w:val="en-IN"/>
        </w:rPr>
        <w:t xml:space="preserve"> via a pictogram. </w:t>
      </w:r>
      <w:r w:rsidR="006506C0">
        <w:rPr>
          <w:rFonts w:ascii="Times New Roman" w:hAnsi="Times New Roman" w:cs="Times New Roman"/>
          <w:sz w:val="24"/>
          <w:szCs w:val="24"/>
          <w:lang w:val="en-IN"/>
        </w:rPr>
        <w:t>It</w:t>
      </w:r>
      <w:r>
        <w:rPr>
          <w:rFonts w:ascii="Times New Roman" w:hAnsi="Times New Roman" w:cs="Times New Roman"/>
          <w:sz w:val="24"/>
          <w:szCs w:val="24"/>
          <w:lang w:val="en-IN"/>
        </w:rPr>
        <w:t xml:space="preserve"> </w:t>
      </w:r>
      <w:r w:rsidRPr="0070640D">
        <w:rPr>
          <w:rFonts w:ascii="Times New Roman" w:hAnsi="Times New Roman" w:cs="Times New Roman"/>
          <w:sz w:val="24"/>
          <w:szCs w:val="24"/>
          <w:lang w:val="en-IN"/>
        </w:rPr>
        <w:t>is designed to provide a quick and intuitive understanding of how well an analytical method aligns with sustainability goals</w:t>
      </w:r>
      <w:r w:rsidR="006506C0">
        <w:rPr>
          <w:rFonts w:ascii="Times New Roman" w:hAnsi="Times New Roman" w:cs="Times New Roman"/>
          <w:sz w:val="24"/>
          <w:szCs w:val="24"/>
          <w:lang w:val="en-IN"/>
        </w:rPr>
        <w:t>. The s</w:t>
      </w:r>
      <w:r w:rsidRPr="0070640D">
        <w:rPr>
          <w:rFonts w:ascii="Times New Roman" w:hAnsi="Times New Roman" w:cs="Times New Roman"/>
          <w:sz w:val="24"/>
          <w:szCs w:val="24"/>
          <w:lang w:val="en-IN"/>
        </w:rPr>
        <w:t xml:space="preserve">tructure of the </w:t>
      </w:r>
      <w:r w:rsidR="006506C0">
        <w:rPr>
          <w:rFonts w:ascii="Times New Roman" w:hAnsi="Times New Roman" w:cs="Times New Roman"/>
          <w:sz w:val="24"/>
          <w:szCs w:val="24"/>
          <w:lang w:val="en-IN"/>
        </w:rPr>
        <w:t>p</w:t>
      </w:r>
      <w:r w:rsidRPr="0070640D">
        <w:rPr>
          <w:rFonts w:ascii="Times New Roman" w:hAnsi="Times New Roman" w:cs="Times New Roman"/>
          <w:sz w:val="24"/>
          <w:szCs w:val="24"/>
          <w:lang w:val="en-IN"/>
        </w:rPr>
        <w:t>ictogram</w:t>
      </w:r>
      <w:r w:rsidR="006506C0">
        <w:rPr>
          <w:rFonts w:ascii="Times New Roman" w:hAnsi="Times New Roman" w:cs="Times New Roman"/>
          <w:sz w:val="24"/>
          <w:szCs w:val="24"/>
          <w:lang w:val="en-IN"/>
        </w:rPr>
        <w:t xml:space="preserve"> is a circular chart</w:t>
      </w:r>
      <w:r w:rsidRPr="0070640D">
        <w:rPr>
          <w:rFonts w:ascii="Times New Roman" w:hAnsi="Times New Roman" w:cs="Times New Roman"/>
          <w:sz w:val="24"/>
          <w:szCs w:val="24"/>
          <w:lang w:val="en-IN"/>
        </w:rPr>
        <w:t xml:space="preserve"> divided into 12 equal segments, each corresponding to one of the </w:t>
      </w:r>
      <w:r w:rsidR="006506C0">
        <w:rPr>
          <w:rFonts w:ascii="Times New Roman" w:hAnsi="Times New Roman" w:cs="Times New Roman"/>
          <w:sz w:val="24"/>
          <w:szCs w:val="24"/>
          <w:lang w:val="en-IN"/>
        </w:rPr>
        <w:t xml:space="preserve">principles of </w:t>
      </w:r>
      <w:r w:rsidRPr="0070640D">
        <w:rPr>
          <w:rFonts w:ascii="Times New Roman" w:hAnsi="Times New Roman" w:cs="Times New Roman"/>
          <w:sz w:val="24"/>
          <w:szCs w:val="24"/>
          <w:lang w:val="en-IN"/>
        </w:rPr>
        <w:t>GAC.</w:t>
      </w:r>
      <w:r w:rsidR="006506C0">
        <w:rPr>
          <w:rFonts w:ascii="Times New Roman" w:hAnsi="Times New Roman" w:cs="Times New Roman"/>
          <w:sz w:val="24"/>
          <w:szCs w:val="24"/>
          <w:lang w:val="en-IN"/>
        </w:rPr>
        <w:t xml:space="preserve"> </w:t>
      </w:r>
      <w:r w:rsidRPr="0070640D">
        <w:rPr>
          <w:rFonts w:ascii="Times New Roman" w:hAnsi="Times New Roman" w:cs="Times New Roman"/>
          <w:sz w:val="24"/>
          <w:szCs w:val="24"/>
          <w:lang w:val="en-IN"/>
        </w:rPr>
        <w:t>Each segment is color-coded to indicate the level of compliance with the respective principle</w:t>
      </w:r>
      <w:r w:rsidR="006506C0">
        <w:rPr>
          <w:rFonts w:ascii="Times New Roman" w:hAnsi="Times New Roman" w:cs="Times New Roman"/>
          <w:sz w:val="24"/>
          <w:szCs w:val="24"/>
          <w:lang w:val="en-IN"/>
        </w:rPr>
        <w:t>,</w:t>
      </w:r>
      <w:r w:rsidR="001C4804">
        <w:rPr>
          <w:rFonts w:ascii="Times New Roman" w:hAnsi="Times New Roman" w:cs="Times New Roman"/>
          <w:sz w:val="24"/>
          <w:szCs w:val="24"/>
          <w:lang w:val="en-IN"/>
        </w:rPr>
        <w:t xml:space="preserve"> </w:t>
      </w:r>
      <w:r w:rsidR="006506C0">
        <w:rPr>
          <w:rFonts w:ascii="Times New Roman" w:hAnsi="Times New Roman" w:cs="Times New Roman"/>
          <w:sz w:val="24"/>
          <w:szCs w:val="24"/>
          <w:lang w:val="en-IN"/>
        </w:rPr>
        <w:t>where g</w:t>
      </w:r>
      <w:r w:rsidRPr="0070640D">
        <w:rPr>
          <w:rFonts w:ascii="Times New Roman" w:hAnsi="Times New Roman" w:cs="Times New Roman"/>
          <w:sz w:val="24"/>
          <w:szCs w:val="24"/>
          <w:lang w:val="en-IN"/>
        </w:rPr>
        <w:t>reen</w:t>
      </w:r>
      <w:r w:rsidR="006506C0">
        <w:rPr>
          <w:rFonts w:ascii="Times New Roman" w:hAnsi="Times New Roman" w:cs="Times New Roman"/>
          <w:sz w:val="24"/>
          <w:szCs w:val="24"/>
          <w:lang w:val="en-IN"/>
        </w:rPr>
        <w:t xml:space="preserve"> means h</w:t>
      </w:r>
      <w:r w:rsidRPr="0070640D">
        <w:rPr>
          <w:rFonts w:ascii="Times New Roman" w:hAnsi="Times New Roman" w:cs="Times New Roman"/>
          <w:sz w:val="24"/>
          <w:szCs w:val="24"/>
          <w:lang w:val="en-IN"/>
        </w:rPr>
        <w:t xml:space="preserve">igh compliance with the principle </w:t>
      </w:r>
      <w:r w:rsidRPr="0070640D">
        <w:rPr>
          <w:rFonts w:ascii="Times New Roman" w:hAnsi="Times New Roman" w:cs="Times New Roman"/>
          <w:sz w:val="24"/>
          <w:szCs w:val="24"/>
          <w:lang w:val="en-IN"/>
        </w:rPr>
        <w:lastRenderedPageBreak/>
        <w:t>(sustainable)</w:t>
      </w:r>
      <w:r w:rsidR="006506C0">
        <w:rPr>
          <w:rFonts w:ascii="Times New Roman" w:hAnsi="Times New Roman" w:cs="Times New Roman"/>
          <w:sz w:val="24"/>
          <w:szCs w:val="24"/>
          <w:lang w:val="en-IN"/>
        </w:rPr>
        <w:t>, y</w:t>
      </w:r>
      <w:r w:rsidRPr="0070640D">
        <w:rPr>
          <w:rFonts w:ascii="Times New Roman" w:hAnsi="Times New Roman" w:cs="Times New Roman"/>
          <w:sz w:val="24"/>
          <w:szCs w:val="24"/>
          <w:lang w:val="en-IN"/>
        </w:rPr>
        <w:t>ellow</w:t>
      </w:r>
      <w:r w:rsidR="006506C0">
        <w:rPr>
          <w:rFonts w:ascii="Times New Roman" w:hAnsi="Times New Roman" w:cs="Times New Roman"/>
          <w:sz w:val="24"/>
          <w:szCs w:val="24"/>
          <w:lang w:val="en-IN"/>
        </w:rPr>
        <w:t xml:space="preserve"> means</w:t>
      </w:r>
      <w:r w:rsidRPr="0070640D">
        <w:rPr>
          <w:rFonts w:ascii="Times New Roman" w:hAnsi="Times New Roman" w:cs="Times New Roman"/>
          <w:sz w:val="24"/>
          <w:szCs w:val="24"/>
          <w:lang w:val="en-IN"/>
        </w:rPr>
        <w:t xml:space="preserve"> </w:t>
      </w:r>
      <w:r w:rsidR="006506C0">
        <w:rPr>
          <w:rFonts w:ascii="Times New Roman" w:hAnsi="Times New Roman" w:cs="Times New Roman"/>
          <w:sz w:val="24"/>
          <w:szCs w:val="24"/>
          <w:lang w:val="en-IN"/>
        </w:rPr>
        <w:t>m</w:t>
      </w:r>
      <w:r w:rsidRPr="0070640D">
        <w:rPr>
          <w:rFonts w:ascii="Times New Roman" w:hAnsi="Times New Roman" w:cs="Times New Roman"/>
          <w:sz w:val="24"/>
          <w:szCs w:val="24"/>
          <w:lang w:val="en-IN"/>
        </w:rPr>
        <w:t>oderate compliance (room for improvement)</w:t>
      </w:r>
      <w:r w:rsidR="006506C0">
        <w:rPr>
          <w:rFonts w:ascii="Times New Roman" w:hAnsi="Times New Roman" w:cs="Times New Roman"/>
          <w:sz w:val="24"/>
          <w:szCs w:val="24"/>
          <w:lang w:val="en-IN"/>
        </w:rPr>
        <w:t>, and red means l</w:t>
      </w:r>
      <w:r w:rsidRPr="0070640D">
        <w:rPr>
          <w:rFonts w:ascii="Times New Roman" w:hAnsi="Times New Roman" w:cs="Times New Roman"/>
          <w:sz w:val="24"/>
          <w:szCs w:val="24"/>
          <w:lang w:val="en-IN"/>
        </w:rPr>
        <w:t>ow compliance (unsustainable).</w:t>
      </w:r>
      <w:r w:rsidR="001C4804">
        <w:rPr>
          <w:rFonts w:ascii="Times New Roman" w:hAnsi="Times New Roman" w:cs="Times New Roman"/>
          <w:sz w:val="24"/>
          <w:szCs w:val="24"/>
          <w:lang w:val="en-IN"/>
        </w:rPr>
        <w:t xml:space="preserve"> The s</w:t>
      </w:r>
      <w:r w:rsidRPr="0070640D">
        <w:rPr>
          <w:rFonts w:ascii="Times New Roman" w:hAnsi="Times New Roman" w:cs="Times New Roman"/>
          <w:sz w:val="24"/>
          <w:szCs w:val="24"/>
          <w:lang w:val="en-IN"/>
        </w:rPr>
        <w:t>coring</w:t>
      </w:r>
      <w:r w:rsidR="001C4804">
        <w:rPr>
          <w:rFonts w:ascii="Times New Roman" w:hAnsi="Times New Roman" w:cs="Times New Roman"/>
          <w:sz w:val="24"/>
          <w:szCs w:val="24"/>
          <w:lang w:val="en-IN"/>
        </w:rPr>
        <w:t xml:space="preserve"> in e</w:t>
      </w:r>
      <w:r w:rsidRPr="0070640D">
        <w:rPr>
          <w:rFonts w:ascii="Times New Roman" w:hAnsi="Times New Roman" w:cs="Times New Roman"/>
          <w:sz w:val="24"/>
          <w:szCs w:val="24"/>
          <w:lang w:val="en-IN"/>
        </w:rPr>
        <w:t>ach segment is assigned a score between 0 and 1, where</w:t>
      </w:r>
      <w:r w:rsidR="001C4804">
        <w:rPr>
          <w:rFonts w:ascii="Times New Roman" w:hAnsi="Times New Roman" w:cs="Times New Roman"/>
          <w:sz w:val="24"/>
          <w:szCs w:val="24"/>
          <w:lang w:val="en-IN"/>
        </w:rPr>
        <w:t xml:space="preserve"> </w:t>
      </w:r>
      <w:r w:rsidRPr="0070640D">
        <w:rPr>
          <w:rFonts w:ascii="Times New Roman" w:hAnsi="Times New Roman" w:cs="Times New Roman"/>
          <w:sz w:val="24"/>
          <w:szCs w:val="24"/>
          <w:lang w:val="en-IN"/>
        </w:rPr>
        <w:t>1 represents full compliance with the principle</w:t>
      </w:r>
      <w:r w:rsidR="001C4804">
        <w:rPr>
          <w:rFonts w:ascii="Times New Roman" w:hAnsi="Times New Roman" w:cs="Times New Roman"/>
          <w:sz w:val="24"/>
          <w:szCs w:val="24"/>
          <w:lang w:val="en-IN"/>
        </w:rPr>
        <w:t xml:space="preserve">, and </w:t>
      </w:r>
      <w:r w:rsidRPr="0070640D">
        <w:rPr>
          <w:rFonts w:ascii="Times New Roman" w:hAnsi="Times New Roman" w:cs="Times New Roman"/>
          <w:sz w:val="24"/>
          <w:szCs w:val="24"/>
          <w:lang w:val="en-IN"/>
        </w:rPr>
        <w:t>0 represents no compliance.</w:t>
      </w:r>
      <w:r w:rsidR="001C4804">
        <w:rPr>
          <w:rFonts w:ascii="Times New Roman" w:hAnsi="Times New Roman" w:cs="Times New Roman"/>
          <w:sz w:val="24"/>
          <w:szCs w:val="24"/>
          <w:lang w:val="en-IN"/>
        </w:rPr>
        <w:t xml:space="preserve"> </w:t>
      </w:r>
      <w:r w:rsidRPr="0070640D">
        <w:rPr>
          <w:rFonts w:ascii="Times New Roman" w:hAnsi="Times New Roman" w:cs="Times New Roman"/>
          <w:sz w:val="24"/>
          <w:szCs w:val="24"/>
          <w:lang w:val="en-IN"/>
        </w:rPr>
        <w:t>The overall greenness score is calculated as the average of the scores across all 12 principles, providing a single numerical value (0–1).</w:t>
      </w:r>
      <w:r w:rsidR="001C4804">
        <w:rPr>
          <w:rFonts w:ascii="Times New Roman" w:hAnsi="Times New Roman" w:cs="Times New Roman"/>
          <w:sz w:val="24"/>
          <w:szCs w:val="24"/>
          <w:lang w:val="en-IN"/>
        </w:rPr>
        <w:t xml:space="preserve"> </w:t>
      </w:r>
      <w:r w:rsidRPr="0070640D">
        <w:rPr>
          <w:rFonts w:ascii="Times New Roman" w:hAnsi="Times New Roman" w:cs="Times New Roman"/>
          <w:sz w:val="24"/>
          <w:szCs w:val="24"/>
          <w:lang w:val="en-IN"/>
        </w:rPr>
        <w:t>The AGREE pictogram allows users to</w:t>
      </w:r>
      <w:r w:rsidR="001C4804">
        <w:rPr>
          <w:rFonts w:ascii="Times New Roman" w:hAnsi="Times New Roman" w:cs="Times New Roman"/>
          <w:sz w:val="24"/>
          <w:szCs w:val="24"/>
          <w:lang w:val="en-IN"/>
        </w:rPr>
        <w:t>:</w:t>
      </w:r>
    </w:p>
    <w:p w14:paraId="7E165820" w14:textId="2A6C27D5" w:rsidR="0070640D" w:rsidRPr="001C4804" w:rsidRDefault="0070640D" w:rsidP="001C4804">
      <w:pPr>
        <w:pStyle w:val="ListParagraph"/>
        <w:numPr>
          <w:ilvl w:val="0"/>
          <w:numId w:val="11"/>
        </w:numPr>
        <w:spacing w:after="0" w:line="360" w:lineRule="auto"/>
        <w:ind w:left="426"/>
        <w:jc w:val="both"/>
        <w:rPr>
          <w:rFonts w:ascii="Times New Roman" w:hAnsi="Times New Roman" w:cs="Times New Roman"/>
          <w:sz w:val="24"/>
          <w:szCs w:val="24"/>
          <w:lang w:val="en-IN"/>
        </w:rPr>
      </w:pPr>
      <w:r w:rsidRPr="001C4804">
        <w:rPr>
          <w:rFonts w:ascii="Times New Roman" w:hAnsi="Times New Roman" w:cs="Times New Roman"/>
          <w:sz w:val="24"/>
          <w:szCs w:val="24"/>
          <w:lang w:val="en-IN"/>
        </w:rPr>
        <w:t>Quickly identify strengths and weaknesses in the sustainability of an analytical method.</w:t>
      </w:r>
    </w:p>
    <w:p w14:paraId="3A3FCC72" w14:textId="77777777" w:rsidR="0070640D" w:rsidRPr="001C4804" w:rsidRDefault="0070640D" w:rsidP="001C4804">
      <w:pPr>
        <w:pStyle w:val="ListParagraph"/>
        <w:numPr>
          <w:ilvl w:val="0"/>
          <w:numId w:val="11"/>
        </w:numPr>
        <w:spacing w:after="0" w:line="360" w:lineRule="auto"/>
        <w:ind w:left="426"/>
        <w:jc w:val="both"/>
        <w:rPr>
          <w:rFonts w:ascii="Times New Roman" w:hAnsi="Times New Roman" w:cs="Times New Roman"/>
          <w:sz w:val="24"/>
          <w:szCs w:val="24"/>
          <w:lang w:val="en-IN"/>
        </w:rPr>
      </w:pPr>
      <w:r w:rsidRPr="001C4804">
        <w:rPr>
          <w:rFonts w:ascii="Times New Roman" w:hAnsi="Times New Roman" w:cs="Times New Roman"/>
          <w:sz w:val="24"/>
          <w:szCs w:val="24"/>
          <w:lang w:val="en-IN"/>
        </w:rPr>
        <w:t>Compare different methods visually and quantitatively.</w:t>
      </w:r>
    </w:p>
    <w:p w14:paraId="3C92FEF7" w14:textId="77777777" w:rsidR="0070640D" w:rsidRPr="001C4804" w:rsidRDefault="0070640D" w:rsidP="001C4804">
      <w:pPr>
        <w:pStyle w:val="ListParagraph"/>
        <w:numPr>
          <w:ilvl w:val="0"/>
          <w:numId w:val="11"/>
        </w:numPr>
        <w:spacing w:after="0" w:line="360" w:lineRule="auto"/>
        <w:ind w:left="426"/>
        <w:jc w:val="both"/>
        <w:rPr>
          <w:rFonts w:ascii="Times New Roman" w:hAnsi="Times New Roman" w:cs="Times New Roman"/>
          <w:sz w:val="24"/>
          <w:szCs w:val="24"/>
          <w:lang w:val="en-IN"/>
        </w:rPr>
      </w:pPr>
      <w:r w:rsidRPr="001C4804">
        <w:rPr>
          <w:rFonts w:ascii="Times New Roman" w:hAnsi="Times New Roman" w:cs="Times New Roman"/>
          <w:sz w:val="24"/>
          <w:szCs w:val="24"/>
          <w:lang w:val="en-IN"/>
        </w:rPr>
        <w:t>Focus on specific areas for improvement to enhance the greenness of the method.</w:t>
      </w:r>
    </w:p>
    <w:p w14:paraId="6AD810EA" w14:textId="79FA89D6" w:rsidR="00A8078A" w:rsidRDefault="0070640D" w:rsidP="0070640D">
      <w:pPr>
        <w:spacing w:after="0" w:line="360" w:lineRule="auto"/>
        <w:jc w:val="both"/>
        <w:rPr>
          <w:rFonts w:ascii="Times New Roman" w:hAnsi="Times New Roman" w:cs="Times New Roman"/>
          <w:sz w:val="24"/>
          <w:szCs w:val="24"/>
          <w:lang w:val="en-IN"/>
        </w:rPr>
      </w:pPr>
      <w:r w:rsidRPr="0070640D">
        <w:rPr>
          <w:rFonts w:ascii="Times New Roman" w:hAnsi="Times New Roman" w:cs="Times New Roman"/>
          <w:sz w:val="24"/>
          <w:szCs w:val="24"/>
          <w:lang w:val="en-IN"/>
        </w:rPr>
        <w:t>The AGREE pictogram is widely appreciated for its clarity, simplicity, and comprehensiveness, making it a valuable tool for researchers and professionals aiming to adopt greener analytical practices.</w:t>
      </w:r>
    </w:p>
    <w:p w14:paraId="0ED4E23C" w14:textId="77777777" w:rsidR="008D308C" w:rsidRDefault="008D308C" w:rsidP="0070640D">
      <w:pPr>
        <w:spacing w:after="0" w:line="360" w:lineRule="auto"/>
        <w:jc w:val="both"/>
        <w:rPr>
          <w:rFonts w:ascii="Times New Roman" w:hAnsi="Times New Roman" w:cs="Times New Roman"/>
          <w:sz w:val="24"/>
          <w:szCs w:val="24"/>
          <w:lang w:val="en-IN"/>
        </w:rPr>
      </w:pPr>
    </w:p>
    <w:p w14:paraId="75C7C376" w14:textId="77AFAED6" w:rsidR="00A8078A" w:rsidRPr="00560A07" w:rsidRDefault="00560A07" w:rsidP="00A8078A">
      <w:pPr>
        <w:spacing w:after="0" w:line="360" w:lineRule="auto"/>
        <w:jc w:val="both"/>
        <w:rPr>
          <w:rFonts w:ascii="Times New Roman" w:hAnsi="Times New Roman" w:cs="Times New Roman"/>
          <w:b/>
          <w:bCs/>
          <w:sz w:val="24"/>
          <w:szCs w:val="24"/>
          <w:lang w:val="en-IN"/>
        </w:rPr>
      </w:pPr>
      <w:r w:rsidRPr="00560A07">
        <w:rPr>
          <w:rFonts w:ascii="Times New Roman" w:hAnsi="Times New Roman" w:cs="Times New Roman"/>
          <w:b/>
          <w:bCs/>
          <w:sz w:val="24"/>
          <w:szCs w:val="24"/>
          <w:lang w:val="en-IN"/>
        </w:rPr>
        <w:t>EPPI:</w:t>
      </w:r>
    </w:p>
    <w:p w14:paraId="1988DEC7" w14:textId="373F4BD7" w:rsidR="001563B3" w:rsidRDefault="00560A07" w:rsidP="001563B3">
      <w:p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EPPI (Environmental, Performance</w:t>
      </w:r>
      <w:r w:rsidR="0070640D">
        <w:rPr>
          <w:rFonts w:ascii="Times New Roman" w:hAnsi="Times New Roman" w:cs="Times New Roman"/>
          <w:sz w:val="24"/>
          <w:szCs w:val="24"/>
          <w:lang w:val="en-IN"/>
        </w:rPr>
        <w:t>,</w:t>
      </w:r>
      <w:r>
        <w:rPr>
          <w:rFonts w:ascii="Times New Roman" w:hAnsi="Times New Roman" w:cs="Times New Roman"/>
          <w:sz w:val="24"/>
          <w:szCs w:val="24"/>
          <w:lang w:val="en-IN"/>
        </w:rPr>
        <w:t xml:space="preserve"> and </w:t>
      </w:r>
      <w:proofErr w:type="spellStart"/>
      <w:r>
        <w:rPr>
          <w:rFonts w:ascii="Times New Roman" w:hAnsi="Times New Roman" w:cs="Times New Roman"/>
          <w:sz w:val="24"/>
          <w:szCs w:val="24"/>
          <w:lang w:val="en-IN"/>
        </w:rPr>
        <w:t>Practility</w:t>
      </w:r>
      <w:proofErr w:type="spellEnd"/>
      <w:r>
        <w:rPr>
          <w:rFonts w:ascii="Times New Roman" w:hAnsi="Times New Roman" w:cs="Times New Roman"/>
          <w:sz w:val="24"/>
          <w:szCs w:val="24"/>
          <w:lang w:val="en-IN"/>
        </w:rPr>
        <w:t xml:space="preserve"> Index)</w:t>
      </w:r>
      <w:r w:rsidR="001563B3">
        <w:rPr>
          <w:rFonts w:ascii="Times New Roman" w:hAnsi="Times New Roman" w:cs="Times New Roman"/>
          <w:sz w:val="24"/>
          <w:szCs w:val="24"/>
          <w:lang w:val="en-IN"/>
        </w:rPr>
        <w:t xml:space="preserve"> address</w:t>
      </w:r>
      <w:r w:rsidR="003D0289">
        <w:rPr>
          <w:rFonts w:ascii="Times New Roman" w:hAnsi="Times New Roman" w:cs="Times New Roman"/>
          <w:sz w:val="24"/>
          <w:szCs w:val="24"/>
          <w:lang w:val="en-IN"/>
        </w:rPr>
        <w:t>es</w:t>
      </w:r>
      <w:r w:rsidR="001563B3" w:rsidRPr="001563B3">
        <w:rPr>
          <w:rFonts w:ascii="Times New Roman" w:hAnsi="Times New Roman" w:cs="Times New Roman"/>
          <w:sz w:val="24"/>
          <w:szCs w:val="24"/>
          <w:lang w:val="en-IN"/>
        </w:rPr>
        <w:t xml:space="preserve"> the growing demand for green analytical methods that ensure environmental safety, analytical performance, and practicality.</w:t>
      </w:r>
      <w:r w:rsidR="001563B3">
        <w:rPr>
          <w:rFonts w:ascii="Times New Roman" w:hAnsi="Times New Roman" w:cs="Times New Roman"/>
          <w:sz w:val="24"/>
          <w:szCs w:val="24"/>
          <w:lang w:val="en-IN"/>
        </w:rPr>
        <w:t xml:space="preserve"> It c</w:t>
      </w:r>
      <w:r w:rsidR="001563B3" w:rsidRPr="001563B3">
        <w:rPr>
          <w:rFonts w:ascii="Times New Roman" w:hAnsi="Times New Roman" w:cs="Times New Roman"/>
          <w:sz w:val="24"/>
          <w:szCs w:val="24"/>
          <w:lang w:val="en-IN"/>
        </w:rPr>
        <w:t>ombines environmental impact (greenness), analytical performance, and practicality into a unified evaluation system.</w:t>
      </w:r>
      <w:r w:rsidR="001563B3">
        <w:rPr>
          <w:rFonts w:ascii="Times New Roman" w:hAnsi="Times New Roman" w:cs="Times New Roman"/>
          <w:sz w:val="24"/>
          <w:szCs w:val="24"/>
          <w:lang w:val="en-IN"/>
        </w:rPr>
        <w:t xml:space="preserve"> The</w:t>
      </w:r>
      <w:r w:rsidR="001563B3" w:rsidRPr="001563B3">
        <w:rPr>
          <w:rFonts w:ascii="Times New Roman" w:hAnsi="Times New Roman" w:cs="Times New Roman"/>
          <w:sz w:val="24"/>
          <w:szCs w:val="24"/>
          <w:lang w:val="en-IN"/>
        </w:rPr>
        <w:t xml:space="preserve"> </w:t>
      </w:r>
      <w:r w:rsidR="001563B3">
        <w:rPr>
          <w:rFonts w:ascii="Times New Roman" w:hAnsi="Times New Roman" w:cs="Times New Roman"/>
          <w:sz w:val="24"/>
          <w:szCs w:val="24"/>
          <w:lang w:val="en-IN"/>
        </w:rPr>
        <w:t>s</w:t>
      </w:r>
      <w:r w:rsidR="001563B3" w:rsidRPr="001563B3">
        <w:rPr>
          <w:rFonts w:ascii="Times New Roman" w:hAnsi="Times New Roman" w:cs="Times New Roman"/>
          <w:sz w:val="24"/>
          <w:szCs w:val="24"/>
          <w:lang w:val="en-IN"/>
        </w:rPr>
        <w:t>tructure of EPPI</w:t>
      </w:r>
      <w:r w:rsidR="001563B3">
        <w:rPr>
          <w:rFonts w:ascii="Times New Roman" w:hAnsi="Times New Roman" w:cs="Times New Roman"/>
          <w:sz w:val="24"/>
          <w:szCs w:val="24"/>
          <w:lang w:val="en-IN"/>
        </w:rPr>
        <w:t xml:space="preserve"> has two major categories: </w:t>
      </w:r>
    </w:p>
    <w:p w14:paraId="4FC247B2" w14:textId="77777777" w:rsidR="00FC59A3" w:rsidRDefault="001563B3" w:rsidP="001563B3">
      <w:pPr>
        <w:pStyle w:val="ListParagraph"/>
        <w:numPr>
          <w:ilvl w:val="0"/>
          <w:numId w:val="5"/>
        </w:numPr>
        <w:spacing w:after="0" w:line="360" w:lineRule="auto"/>
        <w:jc w:val="both"/>
        <w:rPr>
          <w:rFonts w:ascii="Times New Roman" w:hAnsi="Times New Roman" w:cs="Times New Roman"/>
          <w:sz w:val="24"/>
          <w:szCs w:val="24"/>
          <w:lang w:val="en-IN"/>
        </w:rPr>
      </w:pPr>
      <w:r w:rsidRPr="001563B3">
        <w:rPr>
          <w:rFonts w:ascii="Times New Roman" w:hAnsi="Times New Roman" w:cs="Times New Roman"/>
          <w:sz w:val="24"/>
          <w:szCs w:val="24"/>
          <w:lang w:val="en-IN"/>
        </w:rPr>
        <w:t>Environmental Impact (EI) Index:</w:t>
      </w:r>
      <w:r w:rsidR="00FC59A3">
        <w:rPr>
          <w:rFonts w:ascii="Times New Roman" w:hAnsi="Times New Roman" w:cs="Times New Roman"/>
          <w:sz w:val="24"/>
          <w:szCs w:val="24"/>
          <w:lang w:val="en-IN"/>
        </w:rPr>
        <w:t xml:space="preserve"> It e</w:t>
      </w:r>
      <w:r w:rsidRPr="001563B3">
        <w:rPr>
          <w:rFonts w:ascii="Times New Roman" w:hAnsi="Times New Roman" w:cs="Times New Roman"/>
          <w:sz w:val="24"/>
          <w:szCs w:val="24"/>
          <w:lang w:val="en-IN"/>
        </w:rPr>
        <w:t>valuates greenness based on Green Analytical Chemistry (GAC) and Green Sample Preparation (GSP) principles.</w:t>
      </w:r>
    </w:p>
    <w:p w14:paraId="4BCC70F8" w14:textId="77777777" w:rsidR="00FC59A3" w:rsidRDefault="001563B3" w:rsidP="00FC59A3">
      <w:pPr>
        <w:pStyle w:val="ListParagraph"/>
        <w:spacing w:after="0" w:line="360" w:lineRule="auto"/>
        <w:jc w:val="both"/>
        <w:rPr>
          <w:rFonts w:ascii="Times New Roman" w:hAnsi="Times New Roman" w:cs="Times New Roman"/>
          <w:sz w:val="24"/>
          <w:szCs w:val="24"/>
          <w:lang w:val="en-IN"/>
        </w:rPr>
      </w:pPr>
      <w:r w:rsidRPr="00FC59A3">
        <w:rPr>
          <w:rFonts w:ascii="Times New Roman" w:hAnsi="Times New Roman" w:cs="Times New Roman"/>
          <w:sz w:val="24"/>
          <w:szCs w:val="24"/>
          <w:lang w:val="en-IN"/>
        </w:rPr>
        <w:t xml:space="preserve"> It includes:</w:t>
      </w:r>
    </w:p>
    <w:p w14:paraId="2C60ED0C" w14:textId="77777777" w:rsidR="00FC59A3" w:rsidRDefault="001563B3" w:rsidP="00FC59A3">
      <w:pPr>
        <w:pStyle w:val="ListParagraph"/>
        <w:numPr>
          <w:ilvl w:val="0"/>
          <w:numId w:val="6"/>
        </w:numPr>
        <w:spacing w:after="0" w:line="360" w:lineRule="auto"/>
        <w:ind w:left="1134"/>
        <w:jc w:val="both"/>
        <w:rPr>
          <w:rFonts w:ascii="Times New Roman" w:hAnsi="Times New Roman" w:cs="Times New Roman"/>
          <w:sz w:val="24"/>
          <w:szCs w:val="24"/>
          <w:lang w:val="en-IN"/>
        </w:rPr>
      </w:pPr>
      <w:r w:rsidRPr="001563B3">
        <w:rPr>
          <w:rFonts w:ascii="Times New Roman" w:hAnsi="Times New Roman" w:cs="Times New Roman"/>
          <w:sz w:val="24"/>
          <w:szCs w:val="24"/>
          <w:lang w:val="en-IN"/>
        </w:rPr>
        <w:t>Sample Preparation Score (SPS): Assesses pre-synthesis, sampling procedure, and extraction.</w:t>
      </w:r>
    </w:p>
    <w:p w14:paraId="738F7DF6" w14:textId="77777777" w:rsidR="00FC59A3" w:rsidRDefault="001563B3" w:rsidP="00FC59A3">
      <w:pPr>
        <w:pStyle w:val="ListParagraph"/>
        <w:numPr>
          <w:ilvl w:val="0"/>
          <w:numId w:val="6"/>
        </w:numPr>
        <w:spacing w:after="0" w:line="360" w:lineRule="auto"/>
        <w:ind w:left="1134"/>
        <w:jc w:val="both"/>
        <w:rPr>
          <w:rFonts w:ascii="Times New Roman" w:hAnsi="Times New Roman" w:cs="Times New Roman"/>
          <w:sz w:val="24"/>
          <w:szCs w:val="24"/>
          <w:lang w:val="en-IN"/>
        </w:rPr>
      </w:pPr>
      <w:r w:rsidRPr="001563B3">
        <w:rPr>
          <w:rFonts w:ascii="Times New Roman" w:hAnsi="Times New Roman" w:cs="Times New Roman"/>
          <w:sz w:val="24"/>
          <w:szCs w:val="24"/>
          <w:lang w:val="en-IN"/>
        </w:rPr>
        <w:t>Instrumentation Score: Considers energy consumption, automation, emissions, and efficiency.</w:t>
      </w:r>
    </w:p>
    <w:p w14:paraId="6F765990" w14:textId="77777777" w:rsidR="00FC59A3" w:rsidRDefault="001563B3" w:rsidP="00FC59A3">
      <w:pPr>
        <w:pStyle w:val="ListParagraph"/>
        <w:numPr>
          <w:ilvl w:val="0"/>
          <w:numId w:val="6"/>
        </w:numPr>
        <w:spacing w:after="0" w:line="360" w:lineRule="auto"/>
        <w:ind w:left="1134"/>
        <w:jc w:val="both"/>
        <w:rPr>
          <w:rFonts w:ascii="Times New Roman" w:hAnsi="Times New Roman" w:cs="Times New Roman"/>
          <w:sz w:val="24"/>
          <w:szCs w:val="24"/>
          <w:lang w:val="en-IN"/>
        </w:rPr>
      </w:pPr>
      <w:r w:rsidRPr="001563B3">
        <w:rPr>
          <w:rFonts w:ascii="Times New Roman" w:hAnsi="Times New Roman" w:cs="Times New Roman"/>
          <w:sz w:val="24"/>
          <w:szCs w:val="24"/>
          <w:lang w:val="en-IN"/>
        </w:rPr>
        <w:t>Reagent Score: Evaluates the environmental sustainability and safety of solvents.</w:t>
      </w:r>
    </w:p>
    <w:p w14:paraId="098BE186" w14:textId="50C6A35F" w:rsidR="001563B3" w:rsidRPr="001563B3" w:rsidRDefault="001563B3" w:rsidP="00FC59A3">
      <w:pPr>
        <w:pStyle w:val="ListParagraph"/>
        <w:numPr>
          <w:ilvl w:val="0"/>
          <w:numId w:val="6"/>
        </w:numPr>
        <w:spacing w:after="0" w:line="360" w:lineRule="auto"/>
        <w:ind w:left="1134"/>
        <w:jc w:val="both"/>
        <w:rPr>
          <w:rFonts w:ascii="Times New Roman" w:hAnsi="Times New Roman" w:cs="Times New Roman"/>
          <w:sz w:val="24"/>
          <w:szCs w:val="24"/>
          <w:lang w:val="en-IN"/>
        </w:rPr>
      </w:pPr>
      <w:r w:rsidRPr="001563B3">
        <w:rPr>
          <w:rFonts w:ascii="Times New Roman" w:hAnsi="Times New Roman" w:cs="Times New Roman"/>
          <w:sz w:val="24"/>
          <w:szCs w:val="24"/>
          <w:lang w:val="en-IN"/>
        </w:rPr>
        <w:t>Waste Score: Assesses waste volume, biodegradability, and treatment.</w:t>
      </w:r>
    </w:p>
    <w:p w14:paraId="7F717CF8" w14:textId="77777777" w:rsidR="00FC59A3" w:rsidRDefault="001563B3" w:rsidP="001563B3">
      <w:pPr>
        <w:pStyle w:val="ListParagraph"/>
        <w:numPr>
          <w:ilvl w:val="0"/>
          <w:numId w:val="5"/>
        </w:numPr>
        <w:spacing w:after="0" w:line="360" w:lineRule="auto"/>
        <w:jc w:val="both"/>
        <w:rPr>
          <w:rFonts w:ascii="Times New Roman" w:hAnsi="Times New Roman" w:cs="Times New Roman"/>
          <w:sz w:val="24"/>
          <w:szCs w:val="24"/>
          <w:lang w:val="en-IN"/>
        </w:rPr>
      </w:pPr>
      <w:r w:rsidRPr="00FC59A3">
        <w:rPr>
          <w:rFonts w:ascii="Times New Roman" w:hAnsi="Times New Roman" w:cs="Times New Roman"/>
          <w:sz w:val="24"/>
          <w:szCs w:val="24"/>
          <w:lang w:val="en-IN"/>
        </w:rPr>
        <w:t>Performance and Practicality Index (PPI): Evaluates analytical performance and operational feasibility.</w:t>
      </w:r>
    </w:p>
    <w:p w14:paraId="0E9B187D" w14:textId="047EF1C8" w:rsidR="00FC59A3" w:rsidRDefault="00FC59A3" w:rsidP="00FC59A3">
      <w:pPr>
        <w:pStyle w:val="ListParagraph"/>
        <w:spacing w:after="0" w:line="360" w:lineRule="auto"/>
        <w:jc w:val="both"/>
        <w:rPr>
          <w:rFonts w:ascii="Times New Roman" w:hAnsi="Times New Roman" w:cs="Times New Roman"/>
          <w:sz w:val="24"/>
          <w:szCs w:val="24"/>
          <w:lang w:val="en-IN"/>
        </w:rPr>
      </w:pPr>
      <w:r w:rsidRPr="00FC59A3">
        <w:rPr>
          <w:rFonts w:ascii="Times New Roman" w:hAnsi="Times New Roman" w:cs="Times New Roman"/>
          <w:sz w:val="24"/>
          <w:szCs w:val="24"/>
          <w:lang w:val="en-IN"/>
        </w:rPr>
        <w:t xml:space="preserve">It </w:t>
      </w:r>
      <w:r w:rsidR="001563B3" w:rsidRPr="00FC59A3">
        <w:rPr>
          <w:rFonts w:ascii="Times New Roman" w:hAnsi="Times New Roman" w:cs="Times New Roman"/>
          <w:sz w:val="24"/>
          <w:szCs w:val="24"/>
          <w:lang w:val="en-IN"/>
        </w:rPr>
        <w:t>include</w:t>
      </w:r>
      <w:r>
        <w:rPr>
          <w:rFonts w:ascii="Times New Roman" w:hAnsi="Times New Roman" w:cs="Times New Roman"/>
          <w:sz w:val="24"/>
          <w:szCs w:val="24"/>
          <w:lang w:val="en-IN"/>
        </w:rPr>
        <w:t>s</w:t>
      </w:r>
      <w:r w:rsidR="001563B3" w:rsidRPr="00FC59A3">
        <w:rPr>
          <w:rFonts w:ascii="Times New Roman" w:hAnsi="Times New Roman" w:cs="Times New Roman"/>
          <w:sz w:val="24"/>
          <w:szCs w:val="24"/>
          <w:lang w:val="en-IN"/>
        </w:rPr>
        <w:t>:</w:t>
      </w:r>
      <w:r>
        <w:rPr>
          <w:rFonts w:ascii="Times New Roman" w:hAnsi="Times New Roman" w:cs="Times New Roman"/>
          <w:sz w:val="24"/>
          <w:szCs w:val="24"/>
          <w:lang w:val="en-IN"/>
        </w:rPr>
        <w:t xml:space="preserve"> </w:t>
      </w:r>
    </w:p>
    <w:p w14:paraId="4FE6EC23" w14:textId="77777777" w:rsidR="00FC59A3" w:rsidRDefault="001563B3" w:rsidP="00FC59A3">
      <w:pPr>
        <w:pStyle w:val="ListParagraph"/>
        <w:numPr>
          <w:ilvl w:val="0"/>
          <w:numId w:val="7"/>
        </w:numPr>
        <w:spacing w:after="0" w:line="360" w:lineRule="auto"/>
        <w:ind w:left="1134"/>
        <w:jc w:val="both"/>
        <w:rPr>
          <w:rFonts w:ascii="Times New Roman" w:hAnsi="Times New Roman" w:cs="Times New Roman"/>
          <w:sz w:val="24"/>
          <w:szCs w:val="24"/>
          <w:lang w:val="en-IN"/>
        </w:rPr>
      </w:pPr>
      <w:r w:rsidRPr="001563B3">
        <w:rPr>
          <w:rFonts w:ascii="Times New Roman" w:hAnsi="Times New Roman" w:cs="Times New Roman"/>
          <w:sz w:val="24"/>
          <w:szCs w:val="24"/>
          <w:lang w:val="en-IN"/>
        </w:rPr>
        <w:t>Nature of the method (quantitative, semi-quantitative, qualitative).</w:t>
      </w:r>
    </w:p>
    <w:p w14:paraId="297B9139" w14:textId="77777777" w:rsidR="00FC59A3" w:rsidRDefault="001563B3" w:rsidP="00FC59A3">
      <w:pPr>
        <w:pStyle w:val="ListParagraph"/>
        <w:numPr>
          <w:ilvl w:val="0"/>
          <w:numId w:val="7"/>
        </w:numPr>
        <w:spacing w:after="0" w:line="360" w:lineRule="auto"/>
        <w:ind w:left="1134"/>
        <w:jc w:val="both"/>
        <w:rPr>
          <w:rFonts w:ascii="Times New Roman" w:hAnsi="Times New Roman" w:cs="Times New Roman"/>
          <w:sz w:val="24"/>
          <w:szCs w:val="24"/>
          <w:lang w:val="en-IN"/>
        </w:rPr>
      </w:pPr>
      <w:r w:rsidRPr="001563B3">
        <w:rPr>
          <w:rFonts w:ascii="Times New Roman" w:hAnsi="Times New Roman" w:cs="Times New Roman"/>
          <w:sz w:val="24"/>
          <w:szCs w:val="24"/>
          <w:lang w:val="en-IN"/>
        </w:rPr>
        <w:t>Use of Design of Experiments (DoE) and AI integration.</w:t>
      </w:r>
    </w:p>
    <w:p w14:paraId="614091CA" w14:textId="6FA1B3CC" w:rsidR="001563B3" w:rsidRPr="001563B3" w:rsidRDefault="001563B3" w:rsidP="00FC59A3">
      <w:pPr>
        <w:pStyle w:val="ListParagraph"/>
        <w:numPr>
          <w:ilvl w:val="0"/>
          <w:numId w:val="7"/>
        </w:numPr>
        <w:spacing w:after="0" w:line="360" w:lineRule="auto"/>
        <w:ind w:left="1134"/>
        <w:jc w:val="both"/>
        <w:rPr>
          <w:rFonts w:ascii="Times New Roman" w:hAnsi="Times New Roman" w:cs="Times New Roman"/>
          <w:sz w:val="24"/>
          <w:szCs w:val="24"/>
          <w:lang w:val="en-IN"/>
        </w:rPr>
      </w:pPr>
      <w:r w:rsidRPr="001563B3">
        <w:rPr>
          <w:rFonts w:ascii="Times New Roman" w:hAnsi="Times New Roman" w:cs="Times New Roman"/>
          <w:sz w:val="24"/>
          <w:szCs w:val="24"/>
          <w:lang w:val="en-IN"/>
        </w:rPr>
        <w:lastRenderedPageBreak/>
        <w:t>Validation, sensitivity, reagent availability, cost, instrument accessibility, maintenance, throughput, and sample reusability.</w:t>
      </w:r>
    </w:p>
    <w:p w14:paraId="7FBEC70C" w14:textId="208D81AB" w:rsidR="001563B3" w:rsidRDefault="00FC59A3" w:rsidP="001563B3">
      <w:p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The s</w:t>
      </w:r>
      <w:r w:rsidR="001563B3" w:rsidRPr="001563B3">
        <w:rPr>
          <w:rFonts w:ascii="Times New Roman" w:hAnsi="Times New Roman" w:cs="Times New Roman"/>
          <w:sz w:val="24"/>
          <w:szCs w:val="24"/>
          <w:lang w:val="en-IN"/>
        </w:rPr>
        <w:t xml:space="preserve">coring </w:t>
      </w:r>
      <w:r>
        <w:rPr>
          <w:rFonts w:ascii="Times New Roman" w:hAnsi="Times New Roman" w:cs="Times New Roman"/>
          <w:sz w:val="24"/>
          <w:szCs w:val="24"/>
          <w:lang w:val="en-IN"/>
        </w:rPr>
        <w:t>s</w:t>
      </w:r>
      <w:r w:rsidR="001563B3" w:rsidRPr="001563B3">
        <w:rPr>
          <w:rFonts w:ascii="Times New Roman" w:hAnsi="Times New Roman" w:cs="Times New Roman"/>
          <w:sz w:val="24"/>
          <w:szCs w:val="24"/>
          <w:lang w:val="en-IN"/>
        </w:rPr>
        <w:t>ystem</w:t>
      </w:r>
      <w:r>
        <w:rPr>
          <w:rFonts w:ascii="Times New Roman" w:hAnsi="Times New Roman" w:cs="Times New Roman"/>
          <w:sz w:val="24"/>
          <w:szCs w:val="24"/>
          <w:lang w:val="en-IN"/>
        </w:rPr>
        <w:t xml:space="preserve"> for b</w:t>
      </w:r>
      <w:r w:rsidR="001563B3" w:rsidRPr="001563B3">
        <w:rPr>
          <w:rFonts w:ascii="Times New Roman" w:hAnsi="Times New Roman" w:cs="Times New Roman"/>
          <w:sz w:val="24"/>
          <w:szCs w:val="24"/>
          <w:lang w:val="en-IN"/>
        </w:rPr>
        <w:t xml:space="preserve">oth EI and PPI </w:t>
      </w:r>
      <w:r>
        <w:rPr>
          <w:rFonts w:ascii="Times New Roman" w:hAnsi="Times New Roman" w:cs="Times New Roman"/>
          <w:sz w:val="24"/>
          <w:szCs w:val="24"/>
          <w:lang w:val="en-IN"/>
        </w:rPr>
        <w:t>is</w:t>
      </w:r>
      <w:r w:rsidR="001563B3" w:rsidRPr="001563B3">
        <w:rPr>
          <w:rFonts w:ascii="Times New Roman" w:hAnsi="Times New Roman" w:cs="Times New Roman"/>
          <w:sz w:val="24"/>
          <w:szCs w:val="24"/>
          <w:lang w:val="en-IN"/>
        </w:rPr>
        <w:t xml:space="preserve"> scored out of 100, with higher scores indicating better sustainability and practicality.</w:t>
      </w:r>
      <w:r>
        <w:rPr>
          <w:rFonts w:ascii="Times New Roman" w:hAnsi="Times New Roman" w:cs="Times New Roman"/>
          <w:sz w:val="24"/>
          <w:szCs w:val="24"/>
          <w:lang w:val="en-IN"/>
        </w:rPr>
        <w:t xml:space="preserve"> </w:t>
      </w:r>
      <w:r w:rsidR="001563B3" w:rsidRPr="001563B3">
        <w:rPr>
          <w:rFonts w:ascii="Times New Roman" w:hAnsi="Times New Roman" w:cs="Times New Roman"/>
          <w:sz w:val="24"/>
          <w:szCs w:val="24"/>
          <w:lang w:val="en-IN"/>
        </w:rPr>
        <w:t>The total EPPI score is calculated as the average of EI and PPI scores, with a range of 0–100</w:t>
      </w:r>
      <w:r>
        <w:rPr>
          <w:rFonts w:ascii="Times New Roman" w:hAnsi="Times New Roman" w:cs="Times New Roman"/>
          <w:sz w:val="24"/>
          <w:szCs w:val="24"/>
          <w:lang w:val="en-IN"/>
        </w:rPr>
        <w:t xml:space="preserve">, where scores </w:t>
      </w:r>
      <w:r w:rsidR="001563B3" w:rsidRPr="001563B3">
        <w:rPr>
          <w:rFonts w:ascii="Times New Roman" w:hAnsi="Times New Roman" w:cs="Times New Roman"/>
          <w:sz w:val="24"/>
          <w:szCs w:val="24"/>
          <w:lang w:val="en-IN"/>
        </w:rPr>
        <w:t xml:space="preserve">75–100: </w:t>
      </w:r>
      <w:r>
        <w:rPr>
          <w:rFonts w:ascii="Times New Roman" w:hAnsi="Times New Roman" w:cs="Times New Roman"/>
          <w:sz w:val="24"/>
          <w:szCs w:val="24"/>
          <w:lang w:val="en-IN"/>
        </w:rPr>
        <w:t>g</w:t>
      </w:r>
      <w:r w:rsidR="001563B3" w:rsidRPr="001563B3">
        <w:rPr>
          <w:rFonts w:ascii="Times New Roman" w:hAnsi="Times New Roman" w:cs="Times New Roman"/>
          <w:sz w:val="24"/>
          <w:szCs w:val="24"/>
          <w:lang w:val="en-IN"/>
        </w:rPr>
        <w:t>reen, practical, and efficient method</w:t>
      </w:r>
      <w:r>
        <w:rPr>
          <w:rFonts w:ascii="Times New Roman" w:hAnsi="Times New Roman" w:cs="Times New Roman"/>
          <w:sz w:val="24"/>
          <w:szCs w:val="24"/>
          <w:lang w:val="en-IN"/>
        </w:rPr>
        <w:t xml:space="preserve">, </w:t>
      </w:r>
      <w:r w:rsidR="001563B3" w:rsidRPr="001563B3">
        <w:rPr>
          <w:rFonts w:ascii="Times New Roman" w:hAnsi="Times New Roman" w:cs="Times New Roman"/>
          <w:sz w:val="24"/>
          <w:szCs w:val="24"/>
          <w:lang w:val="en-IN"/>
        </w:rPr>
        <w:t xml:space="preserve">50–74: </w:t>
      </w:r>
      <w:r>
        <w:rPr>
          <w:rFonts w:ascii="Times New Roman" w:hAnsi="Times New Roman" w:cs="Times New Roman"/>
          <w:sz w:val="24"/>
          <w:szCs w:val="24"/>
          <w:lang w:val="en-IN"/>
        </w:rPr>
        <w:t>a</w:t>
      </w:r>
      <w:r w:rsidR="001563B3" w:rsidRPr="001563B3">
        <w:rPr>
          <w:rFonts w:ascii="Times New Roman" w:hAnsi="Times New Roman" w:cs="Times New Roman"/>
          <w:sz w:val="24"/>
          <w:szCs w:val="24"/>
          <w:lang w:val="en-IN"/>
        </w:rPr>
        <w:t>cceptable method</w:t>
      </w:r>
      <w:r>
        <w:rPr>
          <w:rFonts w:ascii="Times New Roman" w:hAnsi="Times New Roman" w:cs="Times New Roman"/>
          <w:sz w:val="24"/>
          <w:szCs w:val="24"/>
          <w:lang w:val="en-IN"/>
        </w:rPr>
        <w:t xml:space="preserve">, and </w:t>
      </w:r>
      <w:r w:rsidR="001563B3" w:rsidRPr="001563B3">
        <w:rPr>
          <w:rFonts w:ascii="Times New Roman" w:hAnsi="Times New Roman" w:cs="Times New Roman"/>
          <w:sz w:val="24"/>
          <w:szCs w:val="24"/>
          <w:lang w:val="en-IN"/>
        </w:rPr>
        <w:t xml:space="preserve">&lt;50: </w:t>
      </w:r>
      <w:r>
        <w:rPr>
          <w:rFonts w:ascii="Times New Roman" w:hAnsi="Times New Roman" w:cs="Times New Roman"/>
          <w:sz w:val="24"/>
          <w:szCs w:val="24"/>
          <w:lang w:val="en-IN"/>
        </w:rPr>
        <w:t>n</w:t>
      </w:r>
      <w:r w:rsidR="001563B3" w:rsidRPr="001563B3">
        <w:rPr>
          <w:rFonts w:ascii="Times New Roman" w:hAnsi="Times New Roman" w:cs="Times New Roman"/>
          <w:sz w:val="24"/>
          <w:szCs w:val="24"/>
          <w:lang w:val="en-IN"/>
        </w:rPr>
        <w:t>on-green and impractical method.</w:t>
      </w:r>
      <w:r>
        <w:rPr>
          <w:rFonts w:ascii="Times New Roman" w:hAnsi="Times New Roman" w:cs="Times New Roman"/>
          <w:sz w:val="24"/>
          <w:szCs w:val="24"/>
          <w:lang w:val="en-IN"/>
        </w:rPr>
        <w:t xml:space="preserve"> The g</w:t>
      </w:r>
      <w:r w:rsidR="001563B3" w:rsidRPr="001563B3">
        <w:rPr>
          <w:rFonts w:ascii="Times New Roman" w:hAnsi="Times New Roman" w:cs="Times New Roman"/>
          <w:sz w:val="24"/>
          <w:szCs w:val="24"/>
          <w:lang w:val="en-IN"/>
        </w:rPr>
        <w:t xml:space="preserve">raphical </w:t>
      </w:r>
      <w:r>
        <w:rPr>
          <w:rFonts w:ascii="Times New Roman" w:hAnsi="Times New Roman" w:cs="Times New Roman"/>
          <w:sz w:val="24"/>
          <w:szCs w:val="24"/>
          <w:lang w:val="en-IN"/>
        </w:rPr>
        <w:t>r</w:t>
      </w:r>
      <w:r w:rsidR="001563B3" w:rsidRPr="001563B3">
        <w:rPr>
          <w:rFonts w:ascii="Times New Roman" w:hAnsi="Times New Roman" w:cs="Times New Roman"/>
          <w:sz w:val="24"/>
          <w:szCs w:val="24"/>
          <w:lang w:val="en-IN"/>
        </w:rPr>
        <w:t>epresentation</w:t>
      </w:r>
      <w:r>
        <w:rPr>
          <w:rFonts w:ascii="Times New Roman" w:hAnsi="Times New Roman" w:cs="Times New Roman"/>
          <w:sz w:val="24"/>
          <w:szCs w:val="24"/>
          <w:lang w:val="en-IN"/>
        </w:rPr>
        <w:t xml:space="preserve"> of </w:t>
      </w:r>
      <w:r w:rsidR="001563B3" w:rsidRPr="001563B3">
        <w:rPr>
          <w:rFonts w:ascii="Times New Roman" w:hAnsi="Times New Roman" w:cs="Times New Roman"/>
          <w:sz w:val="24"/>
          <w:szCs w:val="24"/>
          <w:lang w:val="en-IN"/>
        </w:rPr>
        <w:t xml:space="preserve">EPPI results </w:t>
      </w:r>
      <w:r>
        <w:rPr>
          <w:rFonts w:ascii="Times New Roman" w:hAnsi="Times New Roman" w:cs="Times New Roman"/>
          <w:sz w:val="24"/>
          <w:szCs w:val="24"/>
          <w:lang w:val="en-IN"/>
        </w:rPr>
        <w:t>is</w:t>
      </w:r>
      <w:r w:rsidR="001563B3" w:rsidRPr="001563B3">
        <w:rPr>
          <w:rFonts w:ascii="Times New Roman" w:hAnsi="Times New Roman" w:cs="Times New Roman"/>
          <w:sz w:val="24"/>
          <w:szCs w:val="24"/>
          <w:lang w:val="en-IN"/>
        </w:rPr>
        <w:t xml:space="preserve"> visualized as a pie chart</w:t>
      </w:r>
      <w:r>
        <w:rPr>
          <w:rFonts w:ascii="Times New Roman" w:hAnsi="Times New Roman" w:cs="Times New Roman"/>
          <w:sz w:val="24"/>
          <w:szCs w:val="24"/>
          <w:lang w:val="en-IN"/>
        </w:rPr>
        <w:t xml:space="preserve"> where the l</w:t>
      </w:r>
      <w:r w:rsidR="001563B3" w:rsidRPr="001563B3">
        <w:rPr>
          <w:rFonts w:ascii="Times New Roman" w:hAnsi="Times New Roman" w:cs="Times New Roman"/>
          <w:sz w:val="24"/>
          <w:szCs w:val="24"/>
          <w:lang w:val="en-IN"/>
        </w:rPr>
        <w:t xml:space="preserve">eft half represents </w:t>
      </w:r>
      <w:r>
        <w:rPr>
          <w:rFonts w:ascii="Times New Roman" w:hAnsi="Times New Roman" w:cs="Times New Roman"/>
          <w:sz w:val="24"/>
          <w:szCs w:val="24"/>
          <w:lang w:val="en-IN"/>
        </w:rPr>
        <w:t xml:space="preserve">the </w:t>
      </w:r>
      <w:r w:rsidR="001563B3" w:rsidRPr="001563B3">
        <w:rPr>
          <w:rFonts w:ascii="Times New Roman" w:hAnsi="Times New Roman" w:cs="Times New Roman"/>
          <w:sz w:val="24"/>
          <w:szCs w:val="24"/>
          <w:lang w:val="en-IN"/>
        </w:rPr>
        <w:t>EI score (green to red gradient for environmental impact)</w:t>
      </w:r>
      <w:r>
        <w:rPr>
          <w:rFonts w:ascii="Times New Roman" w:hAnsi="Times New Roman" w:cs="Times New Roman"/>
          <w:sz w:val="24"/>
          <w:szCs w:val="24"/>
          <w:lang w:val="en-IN"/>
        </w:rPr>
        <w:t xml:space="preserve"> and the r</w:t>
      </w:r>
      <w:r w:rsidR="001563B3" w:rsidRPr="001563B3">
        <w:rPr>
          <w:rFonts w:ascii="Times New Roman" w:hAnsi="Times New Roman" w:cs="Times New Roman"/>
          <w:sz w:val="24"/>
          <w:szCs w:val="24"/>
          <w:lang w:val="en-IN"/>
        </w:rPr>
        <w:t xml:space="preserve">ight half represents </w:t>
      </w:r>
      <w:r>
        <w:rPr>
          <w:rFonts w:ascii="Times New Roman" w:hAnsi="Times New Roman" w:cs="Times New Roman"/>
          <w:sz w:val="24"/>
          <w:szCs w:val="24"/>
          <w:lang w:val="en-IN"/>
        </w:rPr>
        <w:t xml:space="preserve">the </w:t>
      </w:r>
      <w:r w:rsidR="001563B3" w:rsidRPr="001563B3">
        <w:rPr>
          <w:rFonts w:ascii="Times New Roman" w:hAnsi="Times New Roman" w:cs="Times New Roman"/>
          <w:sz w:val="24"/>
          <w:szCs w:val="24"/>
          <w:lang w:val="en-IN"/>
        </w:rPr>
        <w:t>PPI score (purple gradient for practicality)</w:t>
      </w:r>
      <w:r>
        <w:rPr>
          <w:rFonts w:ascii="Times New Roman" w:hAnsi="Times New Roman" w:cs="Times New Roman"/>
          <w:sz w:val="24"/>
          <w:szCs w:val="24"/>
          <w:lang w:val="en-IN"/>
        </w:rPr>
        <w:t>. The t</w:t>
      </w:r>
      <w:r w:rsidR="001563B3" w:rsidRPr="001563B3">
        <w:rPr>
          <w:rFonts w:ascii="Times New Roman" w:hAnsi="Times New Roman" w:cs="Times New Roman"/>
          <w:sz w:val="24"/>
          <w:szCs w:val="24"/>
          <w:lang w:val="en-IN"/>
        </w:rPr>
        <w:t xml:space="preserve">otal EPPI score is displayed at the </w:t>
      </w:r>
      <w:proofErr w:type="spellStart"/>
      <w:r w:rsidR="001563B3" w:rsidRPr="001563B3">
        <w:rPr>
          <w:rFonts w:ascii="Times New Roman" w:hAnsi="Times New Roman" w:cs="Times New Roman"/>
          <w:sz w:val="24"/>
          <w:szCs w:val="24"/>
          <w:lang w:val="en-IN"/>
        </w:rPr>
        <w:t>center</w:t>
      </w:r>
      <w:proofErr w:type="spellEnd"/>
      <w:r w:rsidR="001563B3" w:rsidRPr="001563B3">
        <w:rPr>
          <w:rFonts w:ascii="Times New Roman" w:hAnsi="Times New Roman" w:cs="Times New Roman"/>
          <w:sz w:val="24"/>
          <w:szCs w:val="24"/>
          <w:lang w:val="en-IN"/>
        </w:rPr>
        <w:t>.</w:t>
      </w:r>
      <w:r>
        <w:rPr>
          <w:rFonts w:ascii="Times New Roman" w:hAnsi="Times New Roman" w:cs="Times New Roman"/>
          <w:sz w:val="24"/>
          <w:szCs w:val="24"/>
          <w:lang w:val="en-IN"/>
        </w:rPr>
        <w:t xml:space="preserve"> The c</w:t>
      </w:r>
      <w:r w:rsidR="001563B3" w:rsidRPr="001563B3">
        <w:rPr>
          <w:rFonts w:ascii="Times New Roman" w:hAnsi="Times New Roman" w:cs="Times New Roman"/>
          <w:sz w:val="24"/>
          <w:szCs w:val="24"/>
          <w:lang w:val="en-IN"/>
        </w:rPr>
        <w:t xml:space="preserve">omparison with </w:t>
      </w:r>
      <w:r>
        <w:rPr>
          <w:rFonts w:ascii="Times New Roman" w:hAnsi="Times New Roman" w:cs="Times New Roman"/>
          <w:sz w:val="24"/>
          <w:szCs w:val="24"/>
          <w:lang w:val="en-IN"/>
        </w:rPr>
        <w:t>o</w:t>
      </w:r>
      <w:r w:rsidR="001563B3" w:rsidRPr="001563B3">
        <w:rPr>
          <w:rFonts w:ascii="Times New Roman" w:hAnsi="Times New Roman" w:cs="Times New Roman"/>
          <w:sz w:val="24"/>
          <w:szCs w:val="24"/>
          <w:lang w:val="en-IN"/>
        </w:rPr>
        <w:t xml:space="preserve">ther </w:t>
      </w:r>
      <w:r>
        <w:rPr>
          <w:rFonts w:ascii="Times New Roman" w:hAnsi="Times New Roman" w:cs="Times New Roman"/>
          <w:sz w:val="24"/>
          <w:szCs w:val="24"/>
          <w:lang w:val="en-IN"/>
        </w:rPr>
        <w:t>m</w:t>
      </w:r>
      <w:r w:rsidR="001563B3" w:rsidRPr="001563B3">
        <w:rPr>
          <w:rFonts w:ascii="Times New Roman" w:hAnsi="Times New Roman" w:cs="Times New Roman"/>
          <w:sz w:val="24"/>
          <w:szCs w:val="24"/>
          <w:lang w:val="en-IN"/>
        </w:rPr>
        <w:t>etrics</w:t>
      </w:r>
      <w:r>
        <w:rPr>
          <w:rFonts w:ascii="Times New Roman" w:hAnsi="Times New Roman" w:cs="Times New Roman"/>
          <w:sz w:val="24"/>
          <w:szCs w:val="24"/>
          <w:lang w:val="en-IN"/>
        </w:rPr>
        <w:t xml:space="preserve"> </w:t>
      </w:r>
      <w:r w:rsidR="001563B3" w:rsidRPr="001563B3">
        <w:rPr>
          <w:rFonts w:ascii="Times New Roman" w:hAnsi="Times New Roman" w:cs="Times New Roman"/>
          <w:sz w:val="24"/>
          <w:szCs w:val="24"/>
          <w:lang w:val="en-IN"/>
        </w:rPr>
        <w:t xml:space="preserve">EPPI is compared with tools like </w:t>
      </w:r>
      <w:r>
        <w:rPr>
          <w:rFonts w:ascii="Times New Roman" w:hAnsi="Times New Roman" w:cs="Times New Roman"/>
          <w:sz w:val="24"/>
          <w:szCs w:val="24"/>
          <w:lang w:val="en-IN"/>
        </w:rPr>
        <w:t>complex GAPI</w:t>
      </w:r>
      <w:r w:rsidR="001563B3" w:rsidRPr="001563B3">
        <w:rPr>
          <w:rFonts w:ascii="Times New Roman" w:hAnsi="Times New Roman" w:cs="Times New Roman"/>
          <w:sz w:val="24"/>
          <w:szCs w:val="24"/>
          <w:lang w:val="en-IN"/>
        </w:rPr>
        <w:t>,</w:t>
      </w:r>
      <w:r>
        <w:rPr>
          <w:rFonts w:ascii="Times New Roman" w:hAnsi="Times New Roman" w:cs="Times New Roman"/>
          <w:sz w:val="24"/>
          <w:szCs w:val="24"/>
          <w:lang w:val="en-IN"/>
        </w:rPr>
        <w:t xml:space="preserve"> and AGREE,</w:t>
      </w:r>
      <w:r w:rsidR="001563B3" w:rsidRPr="001563B3">
        <w:rPr>
          <w:rFonts w:ascii="Times New Roman" w:hAnsi="Times New Roman" w:cs="Times New Roman"/>
          <w:sz w:val="24"/>
          <w:szCs w:val="24"/>
          <w:lang w:val="en-IN"/>
        </w:rPr>
        <w:t xml:space="preserve"> demonstrating its comprehensive evaluation of all workflow stages, including sample preparation, extraction, analytical performance, and practicality.</w:t>
      </w:r>
      <w:r>
        <w:rPr>
          <w:rFonts w:ascii="Times New Roman" w:hAnsi="Times New Roman" w:cs="Times New Roman"/>
          <w:sz w:val="24"/>
          <w:szCs w:val="24"/>
          <w:lang w:val="en-IN"/>
        </w:rPr>
        <w:t xml:space="preserve"> </w:t>
      </w:r>
      <w:r w:rsidR="001563B3" w:rsidRPr="001563B3">
        <w:rPr>
          <w:rFonts w:ascii="Times New Roman" w:hAnsi="Times New Roman" w:cs="Times New Roman"/>
          <w:sz w:val="24"/>
          <w:szCs w:val="24"/>
          <w:lang w:val="en-IN"/>
        </w:rPr>
        <w:t>EPPI provides a more detailed and transparent visual representation compared to other metrics.</w:t>
      </w:r>
    </w:p>
    <w:p w14:paraId="396F2CBC" w14:textId="77777777" w:rsidR="00CC1E9E" w:rsidRDefault="00CC1E9E" w:rsidP="001563B3">
      <w:pPr>
        <w:spacing w:after="0" w:line="360" w:lineRule="auto"/>
        <w:jc w:val="both"/>
        <w:rPr>
          <w:rFonts w:ascii="Times New Roman" w:hAnsi="Times New Roman" w:cs="Times New Roman"/>
          <w:sz w:val="24"/>
          <w:szCs w:val="24"/>
          <w:lang w:val="en-IN"/>
        </w:rPr>
      </w:pPr>
    </w:p>
    <w:p w14:paraId="3685D796" w14:textId="77777777" w:rsidR="00CC1E9E" w:rsidRDefault="00CC1E9E" w:rsidP="00CC1E9E">
      <w:pPr>
        <w:spacing w:after="0" w:line="360" w:lineRule="auto"/>
        <w:jc w:val="center"/>
        <w:rPr>
          <w:rFonts w:ascii="Times New Roman" w:hAnsi="Times New Roman" w:cs="Times New Roman"/>
          <w:sz w:val="24"/>
          <w:szCs w:val="24"/>
          <w:lang w:val="en-IN"/>
        </w:rPr>
      </w:pPr>
    </w:p>
    <w:p w14:paraId="3E06D83D" w14:textId="77777777" w:rsidR="00CC1E9E" w:rsidRDefault="00CC1E9E" w:rsidP="00CC1E9E">
      <w:pPr>
        <w:spacing w:after="0" w:line="360" w:lineRule="auto"/>
        <w:jc w:val="center"/>
        <w:rPr>
          <w:rFonts w:ascii="Times New Roman" w:hAnsi="Times New Roman" w:cs="Times New Roman"/>
          <w:sz w:val="24"/>
          <w:szCs w:val="24"/>
          <w:lang w:val="en-IN"/>
        </w:rPr>
      </w:pPr>
    </w:p>
    <w:p w14:paraId="200B5EDD" w14:textId="77777777" w:rsidR="00CC1E9E" w:rsidRDefault="00CC1E9E" w:rsidP="00CC1E9E">
      <w:pPr>
        <w:spacing w:after="0" w:line="360" w:lineRule="auto"/>
        <w:jc w:val="center"/>
        <w:rPr>
          <w:rFonts w:ascii="Times New Roman" w:hAnsi="Times New Roman" w:cs="Times New Roman"/>
          <w:sz w:val="24"/>
          <w:szCs w:val="24"/>
          <w:lang w:val="en-IN"/>
        </w:rPr>
      </w:pPr>
    </w:p>
    <w:p w14:paraId="774A43F5" w14:textId="77777777" w:rsidR="00CC1E9E" w:rsidRDefault="00CC1E9E" w:rsidP="00CC1E9E">
      <w:pPr>
        <w:spacing w:after="0" w:line="360" w:lineRule="auto"/>
        <w:jc w:val="center"/>
        <w:rPr>
          <w:rFonts w:ascii="Times New Roman" w:hAnsi="Times New Roman" w:cs="Times New Roman"/>
          <w:sz w:val="24"/>
          <w:szCs w:val="24"/>
          <w:lang w:val="en-IN"/>
        </w:rPr>
      </w:pPr>
    </w:p>
    <w:p w14:paraId="555EECA8" w14:textId="77777777" w:rsidR="00CC1E9E" w:rsidRDefault="00CC1E9E" w:rsidP="00CC1E9E">
      <w:pPr>
        <w:spacing w:after="0" w:line="360" w:lineRule="auto"/>
        <w:jc w:val="center"/>
        <w:rPr>
          <w:rFonts w:ascii="Times New Roman" w:hAnsi="Times New Roman" w:cs="Times New Roman"/>
          <w:sz w:val="24"/>
          <w:szCs w:val="24"/>
          <w:lang w:val="en-IN"/>
        </w:rPr>
      </w:pPr>
    </w:p>
    <w:p w14:paraId="4F859593" w14:textId="77777777" w:rsidR="00CC1E9E" w:rsidRDefault="00CC1E9E" w:rsidP="00CC1E9E">
      <w:pPr>
        <w:spacing w:after="0" w:line="360" w:lineRule="auto"/>
        <w:jc w:val="center"/>
        <w:rPr>
          <w:rFonts w:ascii="Times New Roman" w:hAnsi="Times New Roman" w:cs="Times New Roman"/>
          <w:sz w:val="24"/>
          <w:szCs w:val="24"/>
          <w:lang w:val="en-IN"/>
        </w:rPr>
      </w:pPr>
    </w:p>
    <w:p w14:paraId="60D975DD" w14:textId="77777777" w:rsidR="00CC1E9E" w:rsidRDefault="00CC1E9E" w:rsidP="00CC1E9E">
      <w:pPr>
        <w:spacing w:after="0" w:line="360" w:lineRule="auto"/>
        <w:jc w:val="center"/>
        <w:rPr>
          <w:rFonts w:ascii="Times New Roman" w:hAnsi="Times New Roman" w:cs="Times New Roman"/>
          <w:sz w:val="24"/>
          <w:szCs w:val="24"/>
          <w:lang w:val="en-IN"/>
        </w:rPr>
      </w:pPr>
    </w:p>
    <w:p w14:paraId="2F760981" w14:textId="77777777" w:rsidR="00CC1E9E" w:rsidRDefault="00CC1E9E" w:rsidP="00CC1E9E">
      <w:pPr>
        <w:spacing w:after="0" w:line="360" w:lineRule="auto"/>
        <w:jc w:val="center"/>
        <w:rPr>
          <w:rFonts w:ascii="Times New Roman" w:hAnsi="Times New Roman" w:cs="Times New Roman"/>
          <w:sz w:val="24"/>
          <w:szCs w:val="24"/>
          <w:lang w:val="en-IN"/>
        </w:rPr>
      </w:pPr>
    </w:p>
    <w:p w14:paraId="5A2CE703" w14:textId="77777777" w:rsidR="00CC1E9E" w:rsidRDefault="00CC1E9E" w:rsidP="00CC1E9E">
      <w:pPr>
        <w:spacing w:after="0" w:line="360" w:lineRule="auto"/>
        <w:jc w:val="center"/>
        <w:rPr>
          <w:rFonts w:ascii="Times New Roman" w:hAnsi="Times New Roman" w:cs="Times New Roman"/>
          <w:sz w:val="24"/>
          <w:szCs w:val="24"/>
          <w:lang w:val="en-IN"/>
        </w:rPr>
      </w:pPr>
    </w:p>
    <w:p w14:paraId="37585D45" w14:textId="77777777" w:rsidR="00CC1E9E" w:rsidRDefault="00CC1E9E" w:rsidP="00CC1E9E">
      <w:pPr>
        <w:spacing w:after="0" w:line="360" w:lineRule="auto"/>
        <w:jc w:val="center"/>
        <w:rPr>
          <w:rFonts w:ascii="Times New Roman" w:hAnsi="Times New Roman" w:cs="Times New Roman"/>
          <w:sz w:val="24"/>
          <w:szCs w:val="24"/>
          <w:lang w:val="en-IN"/>
        </w:rPr>
      </w:pPr>
    </w:p>
    <w:p w14:paraId="74EBEBCD" w14:textId="77777777" w:rsidR="00CC1E9E" w:rsidRDefault="00CC1E9E" w:rsidP="00CC1E9E">
      <w:pPr>
        <w:spacing w:after="0" w:line="360" w:lineRule="auto"/>
        <w:jc w:val="center"/>
        <w:rPr>
          <w:rFonts w:ascii="Times New Roman" w:hAnsi="Times New Roman" w:cs="Times New Roman"/>
          <w:sz w:val="24"/>
          <w:szCs w:val="24"/>
          <w:lang w:val="en-IN"/>
        </w:rPr>
      </w:pPr>
    </w:p>
    <w:p w14:paraId="41E5C9B4" w14:textId="77777777" w:rsidR="00CC1E9E" w:rsidRDefault="00CC1E9E" w:rsidP="00CC1E9E">
      <w:pPr>
        <w:spacing w:after="0" w:line="360" w:lineRule="auto"/>
        <w:jc w:val="center"/>
        <w:rPr>
          <w:rFonts w:ascii="Times New Roman" w:hAnsi="Times New Roman" w:cs="Times New Roman"/>
          <w:sz w:val="24"/>
          <w:szCs w:val="24"/>
          <w:lang w:val="en-IN"/>
        </w:rPr>
      </w:pPr>
    </w:p>
    <w:p w14:paraId="3C6FB871" w14:textId="77777777" w:rsidR="00CC1E9E" w:rsidRDefault="00CC1E9E" w:rsidP="00CC1E9E">
      <w:pPr>
        <w:spacing w:after="0" w:line="360" w:lineRule="auto"/>
        <w:jc w:val="center"/>
        <w:rPr>
          <w:rFonts w:ascii="Times New Roman" w:hAnsi="Times New Roman" w:cs="Times New Roman"/>
          <w:sz w:val="24"/>
          <w:szCs w:val="24"/>
          <w:lang w:val="en-IN"/>
        </w:rPr>
      </w:pPr>
    </w:p>
    <w:p w14:paraId="160C8A57" w14:textId="77777777" w:rsidR="00CC1E9E" w:rsidRDefault="00CC1E9E" w:rsidP="00CC1E9E">
      <w:pPr>
        <w:spacing w:after="0" w:line="360" w:lineRule="auto"/>
        <w:jc w:val="center"/>
        <w:rPr>
          <w:rFonts w:ascii="Times New Roman" w:hAnsi="Times New Roman" w:cs="Times New Roman"/>
          <w:sz w:val="24"/>
          <w:szCs w:val="24"/>
          <w:lang w:val="en-IN"/>
        </w:rPr>
      </w:pPr>
    </w:p>
    <w:p w14:paraId="7986038C" w14:textId="71BC2E80" w:rsidR="000472A5" w:rsidRDefault="00CC1E9E" w:rsidP="00CC1E9E">
      <w:pPr>
        <w:spacing w:after="0" w:line="360" w:lineRule="auto"/>
        <w:jc w:val="center"/>
      </w:pPr>
      <w:r>
        <w:rPr>
          <w:rFonts w:ascii="Times New Roman" w:hAnsi="Times New Roman" w:cs="Times New Roman"/>
          <w:sz w:val="24"/>
          <w:szCs w:val="24"/>
          <w:lang w:val="en-IN"/>
        </w:rPr>
        <w:t xml:space="preserve">Table 2: Tabular representation of the comparative results of the </w:t>
      </w:r>
      <w:proofErr w:type="spellStart"/>
      <w:r>
        <w:rPr>
          <w:rFonts w:ascii="Times New Roman" w:hAnsi="Times New Roman" w:cs="Times New Roman"/>
          <w:sz w:val="24"/>
          <w:szCs w:val="24"/>
          <w:lang w:val="en-IN"/>
        </w:rPr>
        <w:t>complexGAPI</w:t>
      </w:r>
      <w:proofErr w:type="spellEnd"/>
      <w:r>
        <w:rPr>
          <w:rFonts w:ascii="Times New Roman" w:hAnsi="Times New Roman" w:cs="Times New Roman"/>
          <w:sz w:val="24"/>
          <w:szCs w:val="24"/>
          <w:lang w:val="en-IN"/>
        </w:rPr>
        <w:t>, AGREE, and EPPI metric tools of the UA-DLLME-TLC image analysis with previous studies on RSP.</w:t>
      </w:r>
    </w:p>
    <w:tbl>
      <w:tblPr>
        <w:tblStyle w:val="TableGrid"/>
        <w:tblW w:w="4923" w:type="pct"/>
        <w:jc w:val="right"/>
        <w:tblLayout w:type="fixed"/>
        <w:tblLook w:val="04A0" w:firstRow="1" w:lastRow="0" w:firstColumn="1" w:lastColumn="0" w:noHBand="0" w:noVBand="1"/>
      </w:tblPr>
      <w:tblGrid>
        <w:gridCol w:w="786"/>
        <w:gridCol w:w="1549"/>
        <w:gridCol w:w="1666"/>
        <w:gridCol w:w="1896"/>
        <w:gridCol w:w="1768"/>
        <w:gridCol w:w="1921"/>
      </w:tblGrid>
      <w:tr w:rsidR="008D1DC4" w:rsidRPr="00AB74C2" w14:paraId="3D0E2204" w14:textId="21C9034A" w:rsidTr="00CC1E9E">
        <w:trPr>
          <w:cantSplit/>
          <w:trHeight w:val="962"/>
          <w:jc w:val="right"/>
        </w:trPr>
        <w:tc>
          <w:tcPr>
            <w:tcW w:w="410" w:type="pct"/>
            <w:textDirection w:val="btLr"/>
            <w:vAlign w:val="center"/>
          </w:tcPr>
          <w:p w14:paraId="47152BE9" w14:textId="2EC8C045" w:rsidR="004B3C18" w:rsidRPr="00AB74C2" w:rsidRDefault="004B3C18" w:rsidP="00355145">
            <w:pPr>
              <w:ind w:left="113" w:right="113"/>
              <w:jc w:val="center"/>
              <w:rPr>
                <w:rFonts w:ascii="Times New Roman" w:hAnsi="Times New Roman" w:cs="Times New Roman"/>
                <w:sz w:val="18"/>
                <w:szCs w:val="18"/>
                <w:lang w:val="en-IN"/>
              </w:rPr>
            </w:pPr>
            <w:r w:rsidRPr="00AB74C2">
              <w:rPr>
                <w:rFonts w:ascii="Times New Roman" w:hAnsi="Times New Roman" w:cs="Times New Roman"/>
                <w:b/>
                <w:bCs/>
                <w:sz w:val="18"/>
                <w:szCs w:val="18"/>
                <w:lang w:val="en-IN"/>
              </w:rPr>
              <w:lastRenderedPageBreak/>
              <w:t>Ref</w:t>
            </w:r>
            <w:r w:rsidR="00355145" w:rsidRPr="00AB74C2">
              <w:rPr>
                <w:rFonts w:ascii="Times New Roman" w:hAnsi="Times New Roman" w:cs="Times New Roman"/>
                <w:b/>
                <w:bCs/>
                <w:sz w:val="18"/>
                <w:szCs w:val="18"/>
                <w:lang w:val="en-IN"/>
              </w:rPr>
              <w:t>.</w:t>
            </w:r>
          </w:p>
        </w:tc>
        <w:tc>
          <w:tcPr>
            <w:tcW w:w="808" w:type="pct"/>
            <w:textDirection w:val="btLr"/>
            <w:vAlign w:val="center"/>
          </w:tcPr>
          <w:p w14:paraId="12427578" w14:textId="6108AEC8" w:rsidR="004B3C18" w:rsidRPr="00AB74C2" w:rsidRDefault="00951F96" w:rsidP="00355145">
            <w:pPr>
              <w:ind w:left="113" w:right="113"/>
              <w:jc w:val="center"/>
              <w:rPr>
                <w:rFonts w:ascii="Times New Roman" w:hAnsi="Times New Roman" w:cs="Times New Roman"/>
                <w:sz w:val="18"/>
                <w:szCs w:val="18"/>
                <w:lang w:val="en-IN"/>
              </w:rPr>
            </w:pPr>
            <w:r w:rsidRPr="00AB74C2">
              <w:rPr>
                <w:rFonts w:ascii="Times New Roman" w:hAnsi="Times New Roman" w:cs="Times New Roman"/>
                <w:noProof/>
                <w:sz w:val="18"/>
                <w:szCs w:val="18"/>
                <w:lang w:val="en-IN"/>
              </w:rPr>
              <w:fldChar w:fldCharType="begin"/>
            </w:r>
            <w:r w:rsidRPr="00AB74C2">
              <w:rPr>
                <w:rFonts w:ascii="Times New Roman" w:hAnsi="Times New Roman" w:cs="Times New Roman"/>
                <w:noProof/>
                <w:sz w:val="18"/>
                <w:szCs w:val="18"/>
                <w:lang w:val="en-IN"/>
              </w:rPr>
              <w:instrText xml:space="preserve"> ADDIN ZOTERO_ITEM CSL_CITATION {"citationID":"eaMTNNmQ","properties":{"formattedCitation":"(Yu et al., 2020)","plainCitation":"(Yu et al., 2020)","noteIndex":0},"citationItems":[{"id":348,"uris":["http://zotero.org/users/local/Ys1kvdNt/items/RIMMYCUA"],"itemData":{"id":348,"type":"article-journal","container-title":"Journal of Chromatography A","DOI":"10.1016/j.chroma.2020.461480","ISSN":"00219673","journalAbbreviation":"Journal of Chromatography A","language":"en","page":"461480","source":"DOI.org (Crossref)","title":"Electromembrane extraction of chlorprothixene, haloperidol and risperidone from whole blood and urine","volume":"1629","author":[{"family":"Yu","given":"Xiao"},{"family":"Li","given":"Xinlin"},{"family":"You","given":"Sunzhao"},{"family":"Shi","given":"Yuhang"},{"family":"Zhu","given":"Ruiqin"},{"family":"Dong","given":"Ying"},{"family":"Huang","given":"Chuixiu"}],"issued":{"date-parts":[["2020",10]]}}}],"schema":"https://github.com/citation-style-language/schema/raw/master/csl-citation.json"} </w:instrText>
            </w:r>
            <w:r w:rsidRPr="00AB74C2">
              <w:rPr>
                <w:rFonts w:ascii="Times New Roman" w:hAnsi="Times New Roman" w:cs="Times New Roman"/>
                <w:noProof/>
                <w:sz w:val="18"/>
                <w:szCs w:val="18"/>
                <w:lang w:val="en-IN"/>
              </w:rPr>
              <w:fldChar w:fldCharType="separate"/>
            </w:r>
            <w:r w:rsidRPr="00AB74C2">
              <w:rPr>
                <w:rFonts w:ascii="Times New Roman" w:hAnsi="Times New Roman" w:cs="Times New Roman"/>
                <w:sz w:val="18"/>
                <w:szCs w:val="18"/>
              </w:rPr>
              <w:t>(Yu et al., 2020)</w:t>
            </w:r>
            <w:r w:rsidRPr="00AB74C2">
              <w:rPr>
                <w:rFonts w:ascii="Times New Roman" w:hAnsi="Times New Roman" w:cs="Times New Roman"/>
                <w:noProof/>
                <w:sz w:val="18"/>
                <w:szCs w:val="18"/>
                <w:lang w:val="en-IN"/>
              </w:rPr>
              <w:fldChar w:fldCharType="end"/>
            </w:r>
          </w:p>
        </w:tc>
        <w:tc>
          <w:tcPr>
            <w:tcW w:w="869" w:type="pct"/>
            <w:textDirection w:val="btLr"/>
            <w:vAlign w:val="center"/>
          </w:tcPr>
          <w:p w14:paraId="1AA13EAF" w14:textId="3E9D3B7F" w:rsidR="004B3C18" w:rsidRPr="00AB74C2" w:rsidRDefault="00951F96" w:rsidP="00355145">
            <w:pPr>
              <w:ind w:left="113" w:right="113"/>
              <w:jc w:val="center"/>
              <w:rPr>
                <w:rFonts w:ascii="Times New Roman" w:hAnsi="Times New Roman" w:cs="Times New Roman"/>
                <w:sz w:val="18"/>
                <w:szCs w:val="18"/>
                <w:lang w:val="en-IN"/>
              </w:rPr>
            </w:pPr>
            <w:r w:rsidRPr="00AB74C2">
              <w:rPr>
                <w:rFonts w:ascii="Times New Roman" w:hAnsi="Times New Roman" w:cs="Times New Roman"/>
                <w:noProof/>
                <w:sz w:val="18"/>
                <w:szCs w:val="18"/>
                <w:lang w:val="en-IN"/>
              </w:rPr>
              <w:fldChar w:fldCharType="begin"/>
            </w:r>
            <w:r w:rsidRPr="00AB74C2">
              <w:rPr>
                <w:rFonts w:ascii="Times New Roman" w:hAnsi="Times New Roman" w:cs="Times New Roman"/>
                <w:noProof/>
                <w:sz w:val="18"/>
                <w:szCs w:val="18"/>
                <w:lang w:val="en-IN"/>
              </w:rPr>
              <w:instrText xml:space="preserve"> ADDIN ZOTERO_ITEM CSL_CITATION {"citationID":"m4ZSA3u1","properties":{"formattedCitation":"(Siva Selva Kumar &amp; Ramanathan, 2016)","plainCitation":"(Siva Selva Kumar &amp; Ramanathan, 2016)","noteIndex":0},"citationItems":[{"id":347,"uris":["http://zotero.org/users/local/Ys1kvdNt/items/PLDMXMBV"],"itemData":{"id":347,"type":"article-journal","abstract":"Abstract\n            \n              A simple and sensitive ultra‐performance liquid chromatography (UPLC) method has been developed and validated for simultaneous estimation of olanzapine (OLZ), risperidone (RIS) and 9‐hydroxyrisperidone (9‐OHRIS) in human plasma\n              in vitro\n              . The sample preparation was performed by simple liquid–liquid extraction technique. The analytes were chromatographed on a Waters Acquity H class UPLC system using isocratic mobile phase conditions at a flow rate of 0.3 mL/min and Acquity UPLC BEH shield RP\n              18\n              column maintained at 40°C. Quantification was performed on a photodiode array detector set at 277 nm and clozapine was used as internal standard (IS). OLZ, RIS, 9‐OHRIS and IS retention times were found to be 0.9, 1.4, .1.8 and 3.1 min, respectively, and the total run time was 4 min. The method was validated for selectivity, specificity, recovery, linearity, accuracy, precision and sample stability. The calibration curve was linear over the concentration range 1–100 ng/mL for OLZ, RIS and 9‐OHRIS. Intra‐ and inter‐day precisions for OLZ, RIS and 9‐OHRIS were found to be good with the coefficient of variation &lt;6.96%, and the accuracy ranging from 97.55 to 105.41%, in human plasma. The validated UPLC method was successfully applied to the pharmacokinetic study of RIS and 9‐OHRIS in human plasma. Copyright © 2015 John Wiley &amp; Sons, Ltd.","container-title":"Biomedical Chromatography","DOI":"10.1002/bmc.3545","ISSN":"0269-3879, 1099-0801","issue":"2","journalAbbreviation":"Biomedical Chromatography","language":"en","license":"http://onlinelibrary.wiley.com/termsAndConditions#vor","page":"263-268","source":"DOI.org (Crossref)","title":"Concurrent determination of olanzapine, risperidone and 9‐hydroxyrisperidone in human plasma by ultra performance liquid chromatography with diode array detection method: application to pharmacokinetic study","title-short":"Concurrent determination of olanzapine, risperidone and 9‐hydroxyrisperidone in human plasma by ultra performance liquid chromatography with diode array detection method","volume":"30","author":[{"family":"Siva Selva Kumar","given":"M."},{"family":"Ramanathan","given":"M."}],"issued":{"date-parts":[["2016",2]]}}}],"schema":"https://github.com/citation-style-language/schema/raw/master/csl-citation.json"} </w:instrText>
            </w:r>
            <w:r w:rsidRPr="00AB74C2">
              <w:rPr>
                <w:rFonts w:ascii="Times New Roman" w:hAnsi="Times New Roman" w:cs="Times New Roman"/>
                <w:noProof/>
                <w:sz w:val="18"/>
                <w:szCs w:val="18"/>
                <w:lang w:val="en-IN"/>
              </w:rPr>
              <w:fldChar w:fldCharType="separate"/>
            </w:r>
            <w:r w:rsidRPr="00AB74C2">
              <w:rPr>
                <w:rFonts w:ascii="Times New Roman" w:hAnsi="Times New Roman" w:cs="Times New Roman"/>
                <w:sz w:val="18"/>
                <w:szCs w:val="18"/>
              </w:rPr>
              <w:t>(Siva Selva Kumar &amp; Ramanathan, 2016)</w:t>
            </w:r>
            <w:r w:rsidRPr="00AB74C2">
              <w:rPr>
                <w:rFonts w:ascii="Times New Roman" w:hAnsi="Times New Roman" w:cs="Times New Roman"/>
                <w:noProof/>
                <w:sz w:val="18"/>
                <w:szCs w:val="18"/>
                <w:lang w:val="en-IN"/>
              </w:rPr>
              <w:fldChar w:fldCharType="end"/>
            </w:r>
          </w:p>
        </w:tc>
        <w:tc>
          <w:tcPr>
            <w:tcW w:w="989" w:type="pct"/>
            <w:textDirection w:val="btLr"/>
            <w:vAlign w:val="center"/>
          </w:tcPr>
          <w:p w14:paraId="36EE7AFE" w14:textId="1BC40018" w:rsidR="004B3C18" w:rsidRPr="00AB74C2" w:rsidRDefault="00951F96" w:rsidP="00355145">
            <w:pPr>
              <w:ind w:left="113" w:right="113"/>
              <w:jc w:val="center"/>
              <w:rPr>
                <w:rFonts w:ascii="Times New Roman" w:hAnsi="Times New Roman" w:cs="Times New Roman"/>
                <w:sz w:val="18"/>
                <w:szCs w:val="18"/>
                <w:lang w:val="en-IN"/>
              </w:rPr>
            </w:pPr>
            <w:r w:rsidRPr="00AB74C2">
              <w:rPr>
                <w:rFonts w:ascii="Times New Roman" w:hAnsi="Times New Roman" w:cs="Times New Roman"/>
                <w:noProof/>
                <w:sz w:val="18"/>
                <w:szCs w:val="18"/>
                <w:lang w:val="en-IN"/>
              </w:rPr>
              <w:fldChar w:fldCharType="begin"/>
            </w:r>
            <w:r w:rsidRPr="00AB74C2">
              <w:rPr>
                <w:rFonts w:ascii="Times New Roman" w:hAnsi="Times New Roman" w:cs="Times New Roman"/>
                <w:noProof/>
                <w:sz w:val="18"/>
                <w:szCs w:val="18"/>
                <w:lang w:val="en-IN"/>
              </w:rPr>
              <w:instrText xml:space="preserve"> ADDIN ZOTERO_ITEM CSL_CITATION {"citationID":"PPOx9xSK","properties":{"formattedCitation":"(Ji et al., 2018)","plainCitation":"(Ji et al., 2018)","noteIndex":0},"citationItems":[{"id":345,"uris":["http://zotero.org/users/local/Ys1kvdNt/items/EYWI8GS3"],"itemData":{"id":345,"type":"article-journal","container-title":"Talanta","DOI":"10.1016/j.talanta.2018.01.025","ISSN":"00399140","journalAbbreviation":"Talanta","language":"en","page":"392-400","source":"DOI.org (Crossref)","title":"A water-compatible magnetic molecularly imprinted polymer for the selective extraction of risperidone and 9-hydroxyrisperidone from human urine","volume":"181","author":[{"family":"Ji","given":"Wen-Hua"},{"family":"Guo","given":"Yu-Shuang"},{"family":"Wang","given":"Xiao"},{"family":"Guo","given":"D.-S."}],"issued":{"date-parts":[["2018",5]]}}}],"schema":"https://github.com/citation-style-language/schema/raw/master/csl-citation.json"} </w:instrText>
            </w:r>
            <w:r w:rsidRPr="00AB74C2">
              <w:rPr>
                <w:rFonts w:ascii="Times New Roman" w:hAnsi="Times New Roman" w:cs="Times New Roman"/>
                <w:noProof/>
                <w:sz w:val="18"/>
                <w:szCs w:val="18"/>
                <w:lang w:val="en-IN"/>
              </w:rPr>
              <w:fldChar w:fldCharType="separate"/>
            </w:r>
            <w:r w:rsidRPr="00AB74C2">
              <w:rPr>
                <w:rFonts w:ascii="Times New Roman" w:hAnsi="Times New Roman" w:cs="Times New Roman"/>
                <w:sz w:val="18"/>
                <w:szCs w:val="18"/>
              </w:rPr>
              <w:t>(Ji et al., 2018)</w:t>
            </w:r>
            <w:r w:rsidRPr="00AB74C2">
              <w:rPr>
                <w:rFonts w:ascii="Times New Roman" w:hAnsi="Times New Roman" w:cs="Times New Roman"/>
                <w:noProof/>
                <w:sz w:val="18"/>
                <w:szCs w:val="18"/>
                <w:lang w:val="en-IN"/>
              </w:rPr>
              <w:fldChar w:fldCharType="end"/>
            </w:r>
          </w:p>
        </w:tc>
        <w:tc>
          <w:tcPr>
            <w:tcW w:w="922" w:type="pct"/>
            <w:textDirection w:val="btLr"/>
            <w:vAlign w:val="center"/>
          </w:tcPr>
          <w:p w14:paraId="75F13DAF" w14:textId="5F1BDA71" w:rsidR="004B3C18" w:rsidRPr="00AB74C2" w:rsidRDefault="00951F96" w:rsidP="00355145">
            <w:pPr>
              <w:ind w:left="113" w:right="113"/>
              <w:jc w:val="center"/>
              <w:rPr>
                <w:rFonts w:ascii="Times New Roman" w:hAnsi="Times New Roman" w:cs="Times New Roman"/>
                <w:noProof/>
                <w:sz w:val="18"/>
                <w:szCs w:val="18"/>
                <w:lang w:val="en-IN"/>
              </w:rPr>
            </w:pPr>
            <w:r w:rsidRPr="00AB74C2">
              <w:rPr>
                <w:rFonts w:ascii="Times New Roman" w:hAnsi="Times New Roman" w:cs="Times New Roman"/>
                <w:noProof/>
                <w:sz w:val="18"/>
                <w:szCs w:val="18"/>
                <w:lang w:val="en-IN"/>
              </w:rPr>
              <w:fldChar w:fldCharType="begin"/>
            </w:r>
            <w:r w:rsidRPr="00AB74C2">
              <w:rPr>
                <w:rFonts w:ascii="Times New Roman" w:hAnsi="Times New Roman" w:cs="Times New Roman"/>
                <w:noProof/>
                <w:sz w:val="18"/>
                <w:szCs w:val="18"/>
                <w:lang w:val="en-IN"/>
              </w:rPr>
              <w:instrText xml:space="preserve"> ADDIN ZOTERO_ITEM CSL_CITATION {"citationID":"Rd1qPmHn","properties":{"formattedCitation":"(Mennickent et al., 2019)","plainCitation":"(Mennickent et al., 2019)","noteIndex":0},"citationItems":[{"id":358,"uris":["http://zotero.org/users/local/Ys1kvdNt/items/TV6F26VK"],"itemData":{"id":358,"type":"article-journal","container-title":"Journal of the Chilean Chemical Society","DOI":"10.4067/s0717-97072019000104265","ISSN":"0717-9707","issue":"1","journalAbbreviation":"J. Chil. Chem. Soc.","language":"en","page":"4265-4267","source":"DOI.org (Crossref)","title":"SIMPLIFIED LIQUID-LIQUID EXTRACTION METHOD COUPLED WITH LC/DAD BY QUANTITATIVE DETERMINATION OF RISPERIDONE IN HUMAN SERUM","volume":"64","author":[{"family":"Mennickent","given":"Sigrid"},{"family":"Diego","given":"Marta De"},{"family":"Liser","given":"Bernd"},{"family":"Trujillo","given":"Lina"}],"issued":{"date-parts":[["2019",3]]}}}],"schema":"https://github.com/citation-style-language/schema/raw/master/csl-citation.json"} </w:instrText>
            </w:r>
            <w:r w:rsidRPr="00AB74C2">
              <w:rPr>
                <w:rFonts w:ascii="Times New Roman" w:hAnsi="Times New Roman" w:cs="Times New Roman"/>
                <w:noProof/>
                <w:sz w:val="18"/>
                <w:szCs w:val="18"/>
                <w:lang w:val="en-IN"/>
              </w:rPr>
              <w:fldChar w:fldCharType="separate"/>
            </w:r>
            <w:r w:rsidRPr="00AB74C2">
              <w:rPr>
                <w:rFonts w:ascii="Times New Roman" w:hAnsi="Times New Roman" w:cs="Times New Roman"/>
                <w:sz w:val="18"/>
                <w:szCs w:val="18"/>
              </w:rPr>
              <w:t>(Mennickent et al., 2019)</w:t>
            </w:r>
            <w:r w:rsidRPr="00AB74C2">
              <w:rPr>
                <w:rFonts w:ascii="Times New Roman" w:hAnsi="Times New Roman" w:cs="Times New Roman"/>
                <w:noProof/>
                <w:sz w:val="18"/>
                <w:szCs w:val="18"/>
                <w:lang w:val="en-IN"/>
              </w:rPr>
              <w:fldChar w:fldCharType="end"/>
            </w:r>
          </w:p>
        </w:tc>
        <w:tc>
          <w:tcPr>
            <w:tcW w:w="1002" w:type="pct"/>
            <w:textDirection w:val="btLr"/>
            <w:vAlign w:val="center"/>
          </w:tcPr>
          <w:p w14:paraId="378FEDB9" w14:textId="3DD2FAC1" w:rsidR="004B3C18" w:rsidRPr="00AB74C2" w:rsidRDefault="00A8124B" w:rsidP="00355145">
            <w:pPr>
              <w:ind w:left="113" w:right="113"/>
              <w:jc w:val="center"/>
              <w:rPr>
                <w:rFonts w:ascii="Times New Roman" w:hAnsi="Times New Roman" w:cs="Times New Roman"/>
                <w:noProof/>
                <w:sz w:val="18"/>
                <w:szCs w:val="18"/>
                <w:lang w:val="en-IN"/>
              </w:rPr>
            </w:pPr>
            <w:r w:rsidRPr="00AB74C2">
              <w:rPr>
                <w:rFonts w:ascii="Times New Roman" w:hAnsi="Times New Roman" w:cs="Times New Roman"/>
                <w:noProof/>
                <w:sz w:val="18"/>
                <w:szCs w:val="18"/>
                <w:lang w:val="en-IN"/>
              </w:rPr>
              <w:t>Developed method</w:t>
            </w:r>
          </w:p>
        </w:tc>
      </w:tr>
      <w:tr w:rsidR="00AB74C2" w:rsidRPr="00AB74C2" w14:paraId="32C859D4" w14:textId="279FA2C2" w:rsidTr="00CC1E9E">
        <w:trPr>
          <w:cantSplit/>
          <w:trHeight w:val="2471"/>
          <w:jc w:val="right"/>
        </w:trPr>
        <w:tc>
          <w:tcPr>
            <w:tcW w:w="410" w:type="pct"/>
            <w:textDirection w:val="btLr"/>
            <w:vAlign w:val="center"/>
          </w:tcPr>
          <w:p w14:paraId="284DA54C" w14:textId="47C13E5E" w:rsidR="004B3C18" w:rsidRPr="00AB74C2" w:rsidRDefault="004B3C18" w:rsidP="00355145">
            <w:pPr>
              <w:ind w:left="113" w:right="113"/>
              <w:jc w:val="center"/>
              <w:rPr>
                <w:rFonts w:ascii="Times New Roman" w:hAnsi="Times New Roman" w:cs="Times New Roman"/>
                <w:sz w:val="18"/>
                <w:szCs w:val="18"/>
                <w:lang w:val="en-IN"/>
              </w:rPr>
            </w:pPr>
            <w:r w:rsidRPr="00AB74C2">
              <w:rPr>
                <w:rFonts w:ascii="Times New Roman" w:hAnsi="Times New Roman" w:cs="Times New Roman"/>
                <w:b/>
                <w:bCs/>
                <w:sz w:val="18"/>
                <w:szCs w:val="18"/>
                <w:lang w:val="en-IN"/>
              </w:rPr>
              <w:t>EPPI</w:t>
            </w:r>
          </w:p>
        </w:tc>
        <w:tc>
          <w:tcPr>
            <w:tcW w:w="808" w:type="pct"/>
            <w:textDirection w:val="btLr"/>
            <w:vAlign w:val="bottom"/>
          </w:tcPr>
          <w:p w14:paraId="45CB0B62" w14:textId="4EF22C1F" w:rsidR="004B3C18" w:rsidRPr="00AB74C2" w:rsidRDefault="00951F96" w:rsidP="00355145">
            <w:pPr>
              <w:ind w:left="113" w:right="113"/>
              <w:jc w:val="center"/>
              <w:rPr>
                <w:rFonts w:ascii="Times New Roman" w:hAnsi="Times New Roman" w:cs="Times New Roman"/>
                <w:sz w:val="18"/>
                <w:szCs w:val="18"/>
                <w:lang w:val="en-IN"/>
              </w:rPr>
            </w:pPr>
            <w:r w:rsidRPr="00AB74C2">
              <w:rPr>
                <w:rFonts w:ascii="Times New Roman" w:hAnsi="Times New Roman" w:cs="Times New Roman"/>
                <w:noProof/>
                <w:sz w:val="18"/>
                <w:szCs w:val="18"/>
                <w:lang w:bidi="hi-IN"/>
              </w:rPr>
              <w:drawing>
                <wp:inline distT="0" distB="0" distL="0" distR="0" wp14:anchorId="3B9372EF" wp14:editId="2BB38EF4">
                  <wp:extent cx="1079199" cy="972000"/>
                  <wp:effectExtent l="0" t="57150" r="0" b="38100"/>
                  <wp:docPr id="21066040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383297" name=""/>
                          <pic:cNvPicPr/>
                        </pic:nvPicPr>
                        <pic:blipFill rotWithShape="1">
                          <a:blip r:embed="rId29"/>
                          <a:srcRect l="6351" t="9086" b="7397"/>
                          <a:stretch>
                            <a:fillRect/>
                          </a:stretch>
                        </pic:blipFill>
                        <pic:spPr bwMode="auto">
                          <a:xfrm rot="16200000">
                            <a:off x="0" y="0"/>
                            <a:ext cx="1079199" cy="972000"/>
                          </a:xfrm>
                          <a:prstGeom prst="rect">
                            <a:avLst/>
                          </a:prstGeom>
                          <a:ln>
                            <a:noFill/>
                          </a:ln>
                          <a:extLst>
                            <a:ext uri="{53640926-AAD7-44D8-BBD7-CCE9431645EC}">
                              <a14:shadowObscured xmlns:a14="http://schemas.microsoft.com/office/drawing/2010/main"/>
                            </a:ext>
                          </a:extLst>
                        </pic:spPr>
                      </pic:pic>
                    </a:graphicData>
                  </a:graphic>
                </wp:inline>
              </w:drawing>
            </w:r>
          </w:p>
        </w:tc>
        <w:tc>
          <w:tcPr>
            <w:tcW w:w="869" w:type="pct"/>
            <w:textDirection w:val="btLr"/>
            <w:vAlign w:val="bottom"/>
          </w:tcPr>
          <w:p w14:paraId="19807FFA" w14:textId="2E404763" w:rsidR="004B3C18" w:rsidRPr="00AB74C2" w:rsidRDefault="00951F96" w:rsidP="00355145">
            <w:pPr>
              <w:ind w:left="113" w:right="113"/>
              <w:jc w:val="center"/>
              <w:rPr>
                <w:rFonts w:ascii="Times New Roman" w:hAnsi="Times New Roman" w:cs="Times New Roman"/>
                <w:sz w:val="18"/>
                <w:szCs w:val="18"/>
                <w:lang w:val="en-IN"/>
              </w:rPr>
            </w:pPr>
            <w:r w:rsidRPr="00AB74C2">
              <w:rPr>
                <w:rFonts w:ascii="Times New Roman" w:hAnsi="Times New Roman" w:cs="Times New Roman"/>
                <w:noProof/>
                <w:sz w:val="18"/>
                <w:szCs w:val="18"/>
                <w:lang w:bidi="hi-IN"/>
              </w:rPr>
              <w:drawing>
                <wp:inline distT="0" distB="0" distL="0" distR="0" wp14:anchorId="72FF600D" wp14:editId="3C1537E7">
                  <wp:extent cx="1017234" cy="972000"/>
                  <wp:effectExtent l="0" t="19050" r="0" b="0"/>
                  <wp:docPr id="1204085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041972" name=""/>
                          <pic:cNvPicPr/>
                        </pic:nvPicPr>
                        <pic:blipFill rotWithShape="1">
                          <a:blip r:embed="rId30"/>
                          <a:srcRect l="6295"/>
                          <a:stretch>
                            <a:fillRect/>
                          </a:stretch>
                        </pic:blipFill>
                        <pic:spPr bwMode="auto">
                          <a:xfrm rot="16200000">
                            <a:off x="0" y="0"/>
                            <a:ext cx="1017234" cy="972000"/>
                          </a:xfrm>
                          <a:prstGeom prst="rect">
                            <a:avLst/>
                          </a:prstGeom>
                          <a:ln>
                            <a:noFill/>
                          </a:ln>
                          <a:extLst>
                            <a:ext uri="{53640926-AAD7-44D8-BBD7-CCE9431645EC}">
                              <a14:shadowObscured xmlns:a14="http://schemas.microsoft.com/office/drawing/2010/main"/>
                            </a:ext>
                          </a:extLst>
                        </pic:spPr>
                      </pic:pic>
                    </a:graphicData>
                  </a:graphic>
                </wp:inline>
              </w:drawing>
            </w:r>
          </w:p>
        </w:tc>
        <w:tc>
          <w:tcPr>
            <w:tcW w:w="989" w:type="pct"/>
            <w:textDirection w:val="btLr"/>
            <w:vAlign w:val="bottom"/>
          </w:tcPr>
          <w:p w14:paraId="71BA5755" w14:textId="2B1DC60E" w:rsidR="004B3C18" w:rsidRPr="00AB74C2" w:rsidRDefault="00951F96" w:rsidP="00355145">
            <w:pPr>
              <w:ind w:left="113" w:right="113"/>
              <w:jc w:val="center"/>
              <w:rPr>
                <w:rFonts w:ascii="Times New Roman" w:hAnsi="Times New Roman" w:cs="Times New Roman"/>
                <w:sz w:val="18"/>
                <w:szCs w:val="18"/>
                <w:lang w:val="en-IN"/>
              </w:rPr>
            </w:pPr>
            <w:r w:rsidRPr="00AB74C2">
              <w:rPr>
                <w:rFonts w:ascii="Times New Roman" w:hAnsi="Times New Roman" w:cs="Times New Roman"/>
                <w:noProof/>
                <w:sz w:val="18"/>
                <w:szCs w:val="18"/>
                <w:lang w:bidi="hi-IN"/>
              </w:rPr>
              <w:drawing>
                <wp:inline distT="0" distB="0" distL="0" distR="0" wp14:anchorId="3043C427" wp14:editId="697C5629">
                  <wp:extent cx="1142896" cy="971550"/>
                  <wp:effectExtent l="0" t="76200" r="0" b="57150"/>
                  <wp:docPr id="1415198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857592" name=""/>
                          <pic:cNvPicPr/>
                        </pic:nvPicPr>
                        <pic:blipFill rotWithShape="1">
                          <a:blip r:embed="rId31"/>
                          <a:srcRect l="9009" t="12088" r="3107" b="3983"/>
                          <a:stretch>
                            <a:fillRect/>
                          </a:stretch>
                        </pic:blipFill>
                        <pic:spPr bwMode="auto">
                          <a:xfrm rot="16200000">
                            <a:off x="0" y="0"/>
                            <a:ext cx="1146038" cy="974221"/>
                          </a:xfrm>
                          <a:prstGeom prst="rect">
                            <a:avLst/>
                          </a:prstGeom>
                          <a:ln>
                            <a:noFill/>
                          </a:ln>
                          <a:extLst>
                            <a:ext uri="{53640926-AAD7-44D8-BBD7-CCE9431645EC}">
                              <a14:shadowObscured xmlns:a14="http://schemas.microsoft.com/office/drawing/2010/main"/>
                            </a:ext>
                          </a:extLst>
                        </pic:spPr>
                      </pic:pic>
                    </a:graphicData>
                  </a:graphic>
                </wp:inline>
              </w:drawing>
            </w:r>
          </w:p>
        </w:tc>
        <w:tc>
          <w:tcPr>
            <w:tcW w:w="922" w:type="pct"/>
            <w:textDirection w:val="btLr"/>
            <w:vAlign w:val="bottom"/>
          </w:tcPr>
          <w:p w14:paraId="14B55CF4" w14:textId="05A438B2" w:rsidR="004B3C18" w:rsidRPr="00AB74C2" w:rsidRDefault="00951F96" w:rsidP="00355145">
            <w:pPr>
              <w:ind w:left="113" w:right="113"/>
              <w:jc w:val="center"/>
              <w:rPr>
                <w:rFonts w:ascii="Times New Roman" w:hAnsi="Times New Roman" w:cs="Times New Roman"/>
                <w:noProof/>
                <w:sz w:val="18"/>
                <w:szCs w:val="18"/>
                <w:lang w:val="en-IN"/>
              </w:rPr>
            </w:pPr>
            <w:r w:rsidRPr="00AB74C2">
              <w:rPr>
                <w:rFonts w:ascii="Times New Roman" w:hAnsi="Times New Roman" w:cs="Times New Roman"/>
                <w:noProof/>
                <w:sz w:val="18"/>
                <w:szCs w:val="18"/>
                <w:lang w:bidi="hi-IN"/>
              </w:rPr>
              <w:drawing>
                <wp:inline distT="0" distB="0" distL="0" distR="0" wp14:anchorId="081FA543" wp14:editId="63384585">
                  <wp:extent cx="1098439" cy="972000"/>
                  <wp:effectExtent l="0" t="57150" r="0" b="38100"/>
                  <wp:docPr id="132830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901273" name=""/>
                          <pic:cNvPicPr/>
                        </pic:nvPicPr>
                        <pic:blipFill rotWithShape="1">
                          <a:blip r:embed="rId32"/>
                          <a:srcRect l="8860" t="5455" r="3165" b="5090"/>
                          <a:stretch>
                            <a:fillRect/>
                          </a:stretch>
                        </pic:blipFill>
                        <pic:spPr bwMode="auto">
                          <a:xfrm rot="16200000">
                            <a:off x="0" y="0"/>
                            <a:ext cx="1098439" cy="972000"/>
                          </a:xfrm>
                          <a:prstGeom prst="rect">
                            <a:avLst/>
                          </a:prstGeom>
                          <a:ln>
                            <a:noFill/>
                          </a:ln>
                          <a:extLst>
                            <a:ext uri="{53640926-AAD7-44D8-BBD7-CCE9431645EC}">
                              <a14:shadowObscured xmlns:a14="http://schemas.microsoft.com/office/drawing/2010/main"/>
                            </a:ext>
                          </a:extLst>
                        </pic:spPr>
                      </pic:pic>
                    </a:graphicData>
                  </a:graphic>
                </wp:inline>
              </w:drawing>
            </w:r>
          </w:p>
        </w:tc>
        <w:tc>
          <w:tcPr>
            <w:tcW w:w="1002" w:type="pct"/>
            <w:textDirection w:val="btLr"/>
            <w:vAlign w:val="bottom"/>
          </w:tcPr>
          <w:p w14:paraId="3233AA12" w14:textId="7AB571F9" w:rsidR="004B3C18" w:rsidRPr="00AB74C2" w:rsidRDefault="00951F96" w:rsidP="00355145">
            <w:pPr>
              <w:ind w:left="113" w:right="113"/>
              <w:jc w:val="center"/>
              <w:rPr>
                <w:rFonts w:ascii="Times New Roman" w:hAnsi="Times New Roman" w:cs="Times New Roman"/>
                <w:noProof/>
                <w:sz w:val="18"/>
                <w:szCs w:val="18"/>
                <w:lang w:val="en-IN"/>
              </w:rPr>
            </w:pPr>
            <w:r w:rsidRPr="00AB74C2">
              <w:rPr>
                <w:rFonts w:ascii="Times New Roman" w:hAnsi="Times New Roman" w:cs="Times New Roman"/>
                <w:noProof/>
                <w:sz w:val="18"/>
                <w:szCs w:val="18"/>
                <w:lang w:bidi="hi-IN"/>
              </w:rPr>
              <w:drawing>
                <wp:inline distT="0" distB="0" distL="0" distR="0" wp14:anchorId="1DE26707" wp14:editId="63E1FA6F">
                  <wp:extent cx="1222074" cy="972000"/>
                  <wp:effectExtent l="0" t="133350" r="0" b="114300"/>
                  <wp:docPr id="298178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309708" name=""/>
                          <pic:cNvPicPr/>
                        </pic:nvPicPr>
                        <pic:blipFill rotWithShape="1">
                          <a:blip r:embed="rId33"/>
                          <a:srcRect l="2593" t="3352" b="7606"/>
                          <a:stretch>
                            <a:fillRect/>
                          </a:stretch>
                        </pic:blipFill>
                        <pic:spPr bwMode="auto">
                          <a:xfrm rot="16200000">
                            <a:off x="0" y="0"/>
                            <a:ext cx="1222074" cy="972000"/>
                          </a:xfrm>
                          <a:prstGeom prst="rect">
                            <a:avLst/>
                          </a:prstGeom>
                          <a:ln>
                            <a:noFill/>
                          </a:ln>
                          <a:extLst>
                            <a:ext uri="{53640926-AAD7-44D8-BBD7-CCE9431645EC}">
                              <a14:shadowObscured xmlns:a14="http://schemas.microsoft.com/office/drawing/2010/main"/>
                            </a:ext>
                          </a:extLst>
                        </pic:spPr>
                      </pic:pic>
                    </a:graphicData>
                  </a:graphic>
                </wp:inline>
              </w:drawing>
            </w:r>
          </w:p>
        </w:tc>
      </w:tr>
      <w:tr w:rsidR="008D1DC4" w:rsidRPr="00AB74C2" w14:paraId="3ADAE5C9" w14:textId="031033DC" w:rsidTr="00CC1E9E">
        <w:trPr>
          <w:cantSplit/>
          <w:trHeight w:val="1491"/>
          <w:jc w:val="right"/>
        </w:trPr>
        <w:tc>
          <w:tcPr>
            <w:tcW w:w="410" w:type="pct"/>
            <w:textDirection w:val="btLr"/>
            <w:vAlign w:val="center"/>
          </w:tcPr>
          <w:p w14:paraId="6B243D75" w14:textId="28EA3933" w:rsidR="004B3C18" w:rsidRPr="00AB74C2" w:rsidRDefault="004B3C18" w:rsidP="00355145">
            <w:pPr>
              <w:ind w:left="113" w:right="113"/>
              <w:jc w:val="center"/>
              <w:rPr>
                <w:rFonts w:ascii="Times New Roman" w:hAnsi="Times New Roman" w:cs="Times New Roman"/>
                <w:sz w:val="18"/>
                <w:szCs w:val="18"/>
                <w:lang w:val="en-IN"/>
              </w:rPr>
            </w:pPr>
            <w:r w:rsidRPr="00AB74C2">
              <w:rPr>
                <w:rFonts w:ascii="Times New Roman" w:hAnsi="Times New Roman" w:cs="Times New Roman"/>
                <w:b/>
                <w:bCs/>
                <w:sz w:val="18"/>
                <w:szCs w:val="18"/>
                <w:lang w:val="en-IN"/>
              </w:rPr>
              <w:t>AGREE</w:t>
            </w:r>
          </w:p>
        </w:tc>
        <w:tc>
          <w:tcPr>
            <w:tcW w:w="808" w:type="pct"/>
            <w:textDirection w:val="btLr"/>
            <w:vAlign w:val="center"/>
          </w:tcPr>
          <w:p w14:paraId="68569C0D" w14:textId="4DD884A4" w:rsidR="004B3C18" w:rsidRPr="00AB74C2" w:rsidRDefault="00951F96" w:rsidP="00355145">
            <w:pPr>
              <w:ind w:left="113" w:right="113"/>
              <w:jc w:val="center"/>
              <w:rPr>
                <w:rFonts w:ascii="Times New Roman" w:hAnsi="Times New Roman" w:cs="Times New Roman"/>
                <w:sz w:val="18"/>
                <w:szCs w:val="18"/>
                <w:lang w:val="en-IN"/>
              </w:rPr>
            </w:pPr>
            <w:r w:rsidRPr="00AB74C2">
              <w:rPr>
                <w:rFonts w:ascii="Times New Roman" w:hAnsi="Times New Roman" w:cs="Times New Roman"/>
                <w:noProof/>
                <w:sz w:val="18"/>
                <w:szCs w:val="18"/>
                <w:lang w:bidi="hi-IN"/>
              </w:rPr>
              <w:drawing>
                <wp:inline distT="0" distB="0" distL="0" distR="0" wp14:anchorId="0665605F" wp14:editId="5F96F9CD">
                  <wp:extent cx="749159" cy="756000"/>
                  <wp:effectExtent l="0" t="0" r="0" b="0"/>
                  <wp:docPr id="1516964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292610" name=""/>
                          <pic:cNvPicPr/>
                        </pic:nvPicPr>
                        <pic:blipFill>
                          <a:blip r:embed="rId34"/>
                          <a:stretch>
                            <a:fillRect/>
                          </a:stretch>
                        </pic:blipFill>
                        <pic:spPr>
                          <a:xfrm rot="16200000">
                            <a:off x="0" y="0"/>
                            <a:ext cx="749159" cy="756000"/>
                          </a:xfrm>
                          <a:prstGeom prst="rect">
                            <a:avLst/>
                          </a:prstGeom>
                        </pic:spPr>
                      </pic:pic>
                    </a:graphicData>
                  </a:graphic>
                </wp:inline>
              </w:drawing>
            </w:r>
          </w:p>
        </w:tc>
        <w:tc>
          <w:tcPr>
            <w:tcW w:w="869" w:type="pct"/>
            <w:textDirection w:val="btLr"/>
            <w:vAlign w:val="center"/>
          </w:tcPr>
          <w:p w14:paraId="5DAD83F3" w14:textId="181527E9" w:rsidR="004B3C18" w:rsidRPr="00AB74C2" w:rsidRDefault="00951F96" w:rsidP="00355145">
            <w:pPr>
              <w:ind w:left="113" w:right="113"/>
              <w:jc w:val="center"/>
              <w:rPr>
                <w:rFonts w:ascii="Times New Roman" w:hAnsi="Times New Roman" w:cs="Times New Roman"/>
                <w:sz w:val="18"/>
                <w:szCs w:val="18"/>
                <w:lang w:val="en-IN"/>
              </w:rPr>
            </w:pPr>
            <w:r w:rsidRPr="00AB74C2">
              <w:rPr>
                <w:rFonts w:ascii="Times New Roman" w:hAnsi="Times New Roman" w:cs="Times New Roman"/>
                <w:noProof/>
                <w:sz w:val="18"/>
                <w:szCs w:val="18"/>
                <w:lang w:bidi="hi-IN"/>
              </w:rPr>
              <w:drawing>
                <wp:inline distT="0" distB="0" distL="0" distR="0" wp14:anchorId="7EA8E331" wp14:editId="3E13C16C">
                  <wp:extent cx="751174" cy="756000"/>
                  <wp:effectExtent l="0" t="0" r="0" b="0"/>
                  <wp:docPr id="170497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524810" name=""/>
                          <pic:cNvPicPr/>
                        </pic:nvPicPr>
                        <pic:blipFill>
                          <a:blip r:embed="rId35"/>
                          <a:stretch>
                            <a:fillRect/>
                          </a:stretch>
                        </pic:blipFill>
                        <pic:spPr>
                          <a:xfrm rot="16200000">
                            <a:off x="0" y="0"/>
                            <a:ext cx="751174" cy="756000"/>
                          </a:xfrm>
                          <a:prstGeom prst="rect">
                            <a:avLst/>
                          </a:prstGeom>
                        </pic:spPr>
                      </pic:pic>
                    </a:graphicData>
                  </a:graphic>
                </wp:inline>
              </w:drawing>
            </w:r>
          </w:p>
        </w:tc>
        <w:tc>
          <w:tcPr>
            <w:tcW w:w="989" w:type="pct"/>
            <w:textDirection w:val="btLr"/>
            <w:vAlign w:val="center"/>
          </w:tcPr>
          <w:p w14:paraId="64ABEA53" w14:textId="548EF81B" w:rsidR="004B3C18" w:rsidRPr="00AB74C2" w:rsidRDefault="00951F96" w:rsidP="00355145">
            <w:pPr>
              <w:ind w:left="113" w:right="113"/>
              <w:jc w:val="center"/>
              <w:rPr>
                <w:rFonts w:ascii="Times New Roman" w:hAnsi="Times New Roman" w:cs="Times New Roman"/>
                <w:sz w:val="18"/>
                <w:szCs w:val="18"/>
                <w:lang w:val="en-IN"/>
              </w:rPr>
            </w:pPr>
            <w:r w:rsidRPr="00AB74C2">
              <w:rPr>
                <w:rFonts w:ascii="Times New Roman" w:hAnsi="Times New Roman" w:cs="Times New Roman"/>
                <w:noProof/>
                <w:sz w:val="18"/>
                <w:szCs w:val="18"/>
                <w:lang w:bidi="hi-IN"/>
              </w:rPr>
              <w:drawing>
                <wp:inline distT="0" distB="0" distL="0" distR="0" wp14:anchorId="0BD10299" wp14:editId="4283A062">
                  <wp:extent cx="699217" cy="756000"/>
                  <wp:effectExtent l="19050" t="0" r="5715" b="0"/>
                  <wp:docPr id="1631110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81125" name=""/>
                          <pic:cNvPicPr/>
                        </pic:nvPicPr>
                        <pic:blipFill>
                          <a:blip r:embed="rId36"/>
                          <a:stretch>
                            <a:fillRect/>
                          </a:stretch>
                        </pic:blipFill>
                        <pic:spPr>
                          <a:xfrm rot="16200000">
                            <a:off x="0" y="0"/>
                            <a:ext cx="699217" cy="756000"/>
                          </a:xfrm>
                          <a:prstGeom prst="rect">
                            <a:avLst/>
                          </a:prstGeom>
                        </pic:spPr>
                      </pic:pic>
                    </a:graphicData>
                  </a:graphic>
                </wp:inline>
              </w:drawing>
            </w:r>
          </w:p>
        </w:tc>
        <w:tc>
          <w:tcPr>
            <w:tcW w:w="922" w:type="pct"/>
            <w:textDirection w:val="btLr"/>
            <w:vAlign w:val="center"/>
          </w:tcPr>
          <w:p w14:paraId="32496551" w14:textId="2BFE8D65" w:rsidR="004B3C18" w:rsidRPr="00AB74C2" w:rsidRDefault="00951F96" w:rsidP="00355145">
            <w:pPr>
              <w:ind w:left="113" w:right="113"/>
              <w:jc w:val="center"/>
              <w:rPr>
                <w:rFonts w:ascii="Times New Roman" w:hAnsi="Times New Roman" w:cs="Times New Roman"/>
                <w:noProof/>
                <w:sz w:val="18"/>
                <w:szCs w:val="18"/>
                <w:lang w:val="en-IN"/>
              </w:rPr>
            </w:pPr>
            <w:r w:rsidRPr="00AB74C2">
              <w:rPr>
                <w:rFonts w:ascii="Times New Roman" w:hAnsi="Times New Roman" w:cs="Times New Roman"/>
                <w:noProof/>
                <w:sz w:val="18"/>
                <w:szCs w:val="18"/>
                <w:lang w:bidi="hi-IN"/>
              </w:rPr>
              <w:drawing>
                <wp:inline distT="0" distB="0" distL="0" distR="0" wp14:anchorId="5F831EAD" wp14:editId="4EFBDC18">
                  <wp:extent cx="741399" cy="756000"/>
                  <wp:effectExtent l="0" t="0" r="0" b="0"/>
                  <wp:docPr id="1597828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74444" name=""/>
                          <pic:cNvPicPr/>
                        </pic:nvPicPr>
                        <pic:blipFill>
                          <a:blip r:embed="rId37"/>
                          <a:stretch>
                            <a:fillRect/>
                          </a:stretch>
                        </pic:blipFill>
                        <pic:spPr>
                          <a:xfrm rot="16200000">
                            <a:off x="0" y="0"/>
                            <a:ext cx="741399" cy="756000"/>
                          </a:xfrm>
                          <a:prstGeom prst="rect">
                            <a:avLst/>
                          </a:prstGeom>
                        </pic:spPr>
                      </pic:pic>
                    </a:graphicData>
                  </a:graphic>
                </wp:inline>
              </w:drawing>
            </w:r>
          </w:p>
        </w:tc>
        <w:tc>
          <w:tcPr>
            <w:tcW w:w="1002" w:type="pct"/>
            <w:textDirection w:val="btLr"/>
            <w:vAlign w:val="center"/>
          </w:tcPr>
          <w:p w14:paraId="1FA21EB2" w14:textId="01BACAD6" w:rsidR="004B3C18" w:rsidRPr="00AB74C2" w:rsidRDefault="00951F96" w:rsidP="00355145">
            <w:pPr>
              <w:ind w:left="113" w:right="113"/>
              <w:jc w:val="center"/>
              <w:rPr>
                <w:rFonts w:ascii="Times New Roman" w:hAnsi="Times New Roman" w:cs="Times New Roman"/>
                <w:noProof/>
                <w:sz w:val="18"/>
                <w:szCs w:val="18"/>
                <w:lang w:val="en-IN"/>
              </w:rPr>
            </w:pPr>
            <w:r w:rsidRPr="00AB74C2">
              <w:rPr>
                <w:rFonts w:ascii="Times New Roman" w:hAnsi="Times New Roman" w:cs="Times New Roman"/>
                <w:noProof/>
                <w:sz w:val="18"/>
                <w:szCs w:val="18"/>
                <w:lang w:bidi="hi-IN"/>
              </w:rPr>
              <w:drawing>
                <wp:inline distT="0" distB="0" distL="0" distR="0" wp14:anchorId="7604123C" wp14:editId="7D7D9FBA">
                  <wp:extent cx="759390" cy="756000"/>
                  <wp:effectExtent l="0" t="0" r="0" b="0"/>
                  <wp:docPr id="1965535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255674" name=""/>
                          <pic:cNvPicPr/>
                        </pic:nvPicPr>
                        <pic:blipFill>
                          <a:blip r:embed="rId38"/>
                          <a:stretch>
                            <a:fillRect/>
                          </a:stretch>
                        </pic:blipFill>
                        <pic:spPr>
                          <a:xfrm rot="16200000">
                            <a:off x="0" y="0"/>
                            <a:ext cx="759390" cy="756000"/>
                          </a:xfrm>
                          <a:prstGeom prst="rect">
                            <a:avLst/>
                          </a:prstGeom>
                        </pic:spPr>
                      </pic:pic>
                    </a:graphicData>
                  </a:graphic>
                </wp:inline>
              </w:drawing>
            </w:r>
          </w:p>
        </w:tc>
      </w:tr>
      <w:tr w:rsidR="008D1DC4" w:rsidRPr="00AB74C2" w14:paraId="41AACBDA" w14:textId="298046BE" w:rsidTr="00CC1E9E">
        <w:trPr>
          <w:cantSplit/>
          <w:trHeight w:val="1632"/>
          <w:jc w:val="right"/>
        </w:trPr>
        <w:tc>
          <w:tcPr>
            <w:tcW w:w="410" w:type="pct"/>
            <w:textDirection w:val="btLr"/>
            <w:vAlign w:val="center"/>
          </w:tcPr>
          <w:p w14:paraId="7C8599AC" w14:textId="1F113A0D" w:rsidR="004B3C18" w:rsidRPr="00AB74C2" w:rsidRDefault="004B3C18" w:rsidP="00355145">
            <w:pPr>
              <w:ind w:left="113" w:right="113"/>
              <w:jc w:val="center"/>
              <w:rPr>
                <w:rFonts w:ascii="Times New Roman" w:hAnsi="Times New Roman" w:cs="Times New Roman"/>
                <w:sz w:val="18"/>
                <w:szCs w:val="18"/>
                <w:lang w:val="en-IN"/>
              </w:rPr>
            </w:pPr>
            <w:r w:rsidRPr="00AB74C2">
              <w:rPr>
                <w:rFonts w:ascii="Times New Roman" w:hAnsi="Times New Roman" w:cs="Times New Roman"/>
                <w:b/>
                <w:bCs/>
                <w:sz w:val="18"/>
                <w:szCs w:val="18"/>
                <w:lang w:val="en-IN"/>
              </w:rPr>
              <w:t>Complex GAPI</w:t>
            </w:r>
          </w:p>
        </w:tc>
        <w:tc>
          <w:tcPr>
            <w:tcW w:w="808" w:type="pct"/>
            <w:textDirection w:val="btLr"/>
            <w:vAlign w:val="center"/>
          </w:tcPr>
          <w:p w14:paraId="2C6554F2" w14:textId="60D7343B" w:rsidR="004B3C18" w:rsidRPr="00AB74C2" w:rsidRDefault="00951F96" w:rsidP="00355145">
            <w:pPr>
              <w:ind w:left="113" w:right="113"/>
              <w:jc w:val="center"/>
              <w:rPr>
                <w:rFonts w:ascii="Times New Roman" w:hAnsi="Times New Roman" w:cs="Times New Roman"/>
                <w:sz w:val="18"/>
                <w:szCs w:val="18"/>
                <w:lang w:val="en-IN"/>
              </w:rPr>
            </w:pPr>
            <w:r w:rsidRPr="00AB74C2">
              <w:rPr>
                <w:rFonts w:ascii="Times New Roman" w:hAnsi="Times New Roman" w:cs="Times New Roman"/>
                <w:noProof/>
                <w:sz w:val="18"/>
                <w:szCs w:val="18"/>
                <w:lang w:bidi="hi-IN"/>
              </w:rPr>
              <w:drawing>
                <wp:inline distT="0" distB="0" distL="0" distR="0" wp14:anchorId="3AFB94E6" wp14:editId="49915E4F">
                  <wp:extent cx="937866" cy="800100"/>
                  <wp:effectExtent l="0" t="76200" r="0" b="57150"/>
                  <wp:docPr id="1390852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416566" name=""/>
                          <pic:cNvPicPr/>
                        </pic:nvPicPr>
                        <pic:blipFill rotWithShape="1">
                          <a:blip r:embed="rId39"/>
                          <a:srcRect l="5849" t="8479" b="6139"/>
                          <a:stretch>
                            <a:fillRect/>
                          </a:stretch>
                        </pic:blipFill>
                        <pic:spPr bwMode="auto">
                          <a:xfrm rot="16200000">
                            <a:off x="0" y="0"/>
                            <a:ext cx="964377" cy="822717"/>
                          </a:xfrm>
                          <a:prstGeom prst="rect">
                            <a:avLst/>
                          </a:prstGeom>
                          <a:ln>
                            <a:noFill/>
                          </a:ln>
                          <a:extLst>
                            <a:ext uri="{53640926-AAD7-44D8-BBD7-CCE9431645EC}">
                              <a14:shadowObscured xmlns:a14="http://schemas.microsoft.com/office/drawing/2010/main"/>
                            </a:ext>
                          </a:extLst>
                        </pic:spPr>
                      </pic:pic>
                    </a:graphicData>
                  </a:graphic>
                </wp:inline>
              </w:drawing>
            </w:r>
          </w:p>
        </w:tc>
        <w:tc>
          <w:tcPr>
            <w:tcW w:w="869" w:type="pct"/>
            <w:textDirection w:val="btLr"/>
            <w:vAlign w:val="center"/>
          </w:tcPr>
          <w:p w14:paraId="46788C53" w14:textId="590AB0FE" w:rsidR="004B3C18" w:rsidRPr="00AB74C2" w:rsidRDefault="00951F96" w:rsidP="00355145">
            <w:pPr>
              <w:ind w:left="113" w:right="113"/>
              <w:jc w:val="center"/>
              <w:rPr>
                <w:rFonts w:ascii="Times New Roman" w:hAnsi="Times New Roman" w:cs="Times New Roman"/>
                <w:sz w:val="18"/>
                <w:szCs w:val="18"/>
                <w:lang w:val="en-IN"/>
              </w:rPr>
            </w:pPr>
            <w:r w:rsidRPr="00AB74C2">
              <w:rPr>
                <w:rFonts w:ascii="Times New Roman" w:hAnsi="Times New Roman" w:cs="Times New Roman"/>
                <w:noProof/>
                <w:sz w:val="18"/>
                <w:szCs w:val="18"/>
                <w:lang w:bidi="hi-IN"/>
              </w:rPr>
              <w:drawing>
                <wp:inline distT="0" distB="0" distL="0" distR="0" wp14:anchorId="0A34D5B2" wp14:editId="79936FF4">
                  <wp:extent cx="922069" cy="792000"/>
                  <wp:effectExtent l="0" t="57150" r="0" b="46355"/>
                  <wp:docPr id="1193374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65341" name=""/>
                          <pic:cNvPicPr/>
                        </pic:nvPicPr>
                        <pic:blipFill rotWithShape="1">
                          <a:blip r:embed="rId40"/>
                          <a:srcRect t="7387"/>
                          <a:stretch>
                            <a:fillRect/>
                          </a:stretch>
                        </pic:blipFill>
                        <pic:spPr bwMode="auto">
                          <a:xfrm rot="16200000" flipH="1">
                            <a:off x="0" y="0"/>
                            <a:ext cx="922069" cy="792000"/>
                          </a:xfrm>
                          <a:prstGeom prst="rect">
                            <a:avLst/>
                          </a:prstGeom>
                          <a:ln>
                            <a:noFill/>
                          </a:ln>
                          <a:extLst>
                            <a:ext uri="{53640926-AAD7-44D8-BBD7-CCE9431645EC}">
                              <a14:shadowObscured xmlns:a14="http://schemas.microsoft.com/office/drawing/2010/main"/>
                            </a:ext>
                          </a:extLst>
                        </pic:spPr>
                      </pic:pic>
                    </a:graphicData>
                  </a:graphic>
                </wp:inline>
              </w:drawing>
            </w:r>
          </w:p>
        </w:tc>
        <w:tc>
          <w:tcPr>
            <w:tcW w:w="989" w:type="pct"/>
            <w:textDirection w:val="btLr"/>
            <w:vAlign w:val="center"/>
          </w:tcPr>
          <w:p w14:paraId="19AC1FC6" w14:textId="7B10D53B" w:rsidR="004B3C18" w:rsidRPr="00AB74C2" w:rsidRDefault="00951F96" w:rsidP="00355145">
            <w:pPr>
              <w:ind w:left="113" w:right="113"/>
              <w:jc w:val="center"/>
              <w:rPr>
                <w:rFonts w:ascii="Times New Roman" w:hAnsi="Times New Roman" w:cs="Times New Roman"/>
                <w:sz w:val="18"/>
                <w:szCs w:val="18"/>
                <w:lang w:val="en-IN"/>
              </w:rPr>
            </w:pPr>
            <w:r w:rsidRPr="00AB74C2">
              <w:rPr>
                <w:rFonts w:ascii="Times New Roman" w:hAnsi="Times New Roman" w:cs="Times New Roman"/>
                <w:noProof/>
                <w:sz w:val="18"/>
                <w:szCs w:val="18"/>
                <w:lang w:bidi="hi-IN"/>
              </w:rPr>
              <w:drawing>
                <wp:inline distT="0" distB="0" distL="0" distR="0" wp14:anchorId="4FD12D65" wp14:editId="0B54C4C4">
                  <wp:extent cx="856480" cy="792000"/>
                  <wp:effectExtent l="0" t="38100" r="0" b="8255"/>
                  <wp:docPr id="124128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05043" name=""/>
                          <pic:cNvPicPr/>
                        </pic:nvPicPr>
                        <pic:blipFill rotWithShape="1">
                          <a:blip r:embed="rId41"/>
                          <a:srcRect l="4680" t="9959" r="3776"/>
                          <a:stretch>
                            <a:fillRect/>
                          </a:stretch>
                        </pic:blipFill>
                        <pic:spPr bwMode="auto">
                          <a:xfrm rot="16200000">
                            <a:off x="0" y="0"/>
                            <a:ext cx="856480" cy="792000"/>
                          </a:xfrm>
                          <a:prstGeom prst="rect">
                            <a:avLst/>
                          </a:prstGeom>
                          <a:ln>
                            <a:noFill/>
                          </a:ln>
                          <a:extLst>
                            <a:ext uri="{53640926-AAD7-44D8-BBD7-CCE9431645EC}">
                              <a14:shadowObscured xmlns:a14="http://schemas.microsoft.com/office/drawing/2010/main"/>
                            </a:ext>
                          </a:extLst>
                        </pic:spPr>
                      </pic:pic>
                    </a:graphicData>
                  </a:graphic>
                </wp:inline>
              </w:drawing>
            </w:r>
          </w:p>
        </w:tc>
        <w:tc>
          <w:tcPr>
            <w:tcW w:w="922" w:type="pct"/>
            <w:textDirection w:val="btLr"/>
            <w:vAlign w:val="center"/>
          </w:tcPr>
          <w:p w14:paraId="7B4BBDAD" w14:textId="5D9B5665" w:rsidR="004B3C18" w:rsidRPr="00AB74C2" w:rsidRDefault="00951F96" w:rsidP="00355145">
            <w:pPr>
              <w:ind w:left="113" w:right="113"/>
              <w:jc w:val="center"/>
              <w:rPr>
                <w:rFonts w:ascii="Times New Roman" w:hAnsi="Times New Roman" w:cs="Times New Roman"/>
                <w:noProof/>
                <w:sz w:val="18"/>
                <w:szCs w:val="18"/>
                <w:lang w:val="en-IN"/>
              </w:rPr>
            </w:pPr>
            <w:r w:rsidRPr="00AB74C2">
              <w:rPr>
                <w:rFonts w:ascii="Times New Roman" w:hAnsi="Times New Roman" w:cs="Times New Roman"/>
                <w:noProof/>
                <w:sz w:val="18"/>
                <w:szCs w:val="18"/>
                <w:lang w:bidi="hi-IN"/>
              </w:rPr>
              <w:drawing>
                <wp:inline distT="0" distB="0" distL="0" distR="0" wp14:anchorId="2B4E53EF" wp14:editId="17AB4F7B">
                  <wp:extent cx="901132" cy="799465"/>
                  <wp:effectExtent l="0" t="57150" r="0" b="38735"/>
                  <wp:docPr id="1320225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632287" name=""/>
                          <pic:cNvPicPr/>
                        </pic:nvPicPr>
                        <pic:blipFill rotWithShape="1">
                          <a:blip r:embed="rId42"/>
                          <a:srcRect l="4609" t="11255" r="5471" b="7584"/>
                          <a:stretch>
                            <a:fillRect/>
                          </a:stretch>
                        </pic:blipFill>
                        <pic:spPr bwMode="auto">
                          <a:xfrm rot="16200000">
                            <a:off x="0" y="0"/>
                            <a:ext cx="919484" cy="815747"/>
                          </a:xfrm>
                          <a:prstGeom prst="rect">
                            <a:avLst/>
                          </a:prstGeom>
                          <a:ln>
                            <a:noFill/>
                          </a:ln>
                          <a:extLst>
                            <a:ext uri="{53640926-AAD7-44D8-BBD7-CCE9431645EC}">
                              <a14:shadowObscured xmlns:a14="http://schemas.microsoft.com/office/drawing/2010/main"/>
                            </a:ext>
                          </a:extLst>
                        </pic:spPr>
                      </pic:pic>
                    </a:graphicData>
                  </a:graphic>
                </wp:inline>
              </w:drawing>
            </w:r>
          </w:p>
        </w:tc>
        <w:tc>
          <w:tcPr>
            <w:tcW w:w="1002" w:type="pct"/>
            <w:textDirection w:val="btLr"/>
            <w:vAlign w:val="center"/>
          </w:tcPr>
          <w:p w14:paraId="3926BAB8" w14:textId="027F0E4D" w:rsidR="004B3C18" w:rsidRPr="00AB74C2" w:rsidRDefault="00951F96" w:rsidP="00355145">
            <w:pPr>
              <w:ind w:left="113" w:right="113"/>
              <w:jc w:val="center"/>
              <w:rPr>
                <w:rFonts w:ascii="Times New Roman" w:hAnsi="Times New Roman" w:cs="Times New Roman"/>
                <w:noProof/>
                <w:sz w:val="18"/>
                <w:szCs w:val="18"/>
                <w:lang w:val="en-IN"/>
              </w:rPr>
            </w:pPr>
            <w:r w:rsidRPr="00AB74C2">
              <w:rPr>
                <w:rFonts w:ascii="Times New Roman" w:hAnsi="Times New Roman" w:cs="Times New Roman"/>
                <w:noProof/>
                <w:sz w:val="18"/>
                <w:szCs w:val="18"/>
                <w:lang w:bidi="hi-IN"/>
              </w:rPr>
              <w:drawing>
                <wp:inline distT="0" distB="0" distL="0" distR="0" wp14:anchorId="5F545FF6" wp14:editId="51C48170">
                  <wp:extent cx="914178" cy="792000"/>
                  <wp:effectExtent l="0" t="57150" r="0" b="46355"/>
                  <wp:docPr id="823025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776493" name=""/>
                          <pic:cNvPicPr/>
                        </pic:nvPicPr>
                        <pic:blipFill rotWithShape="1">
                          <a:blip r:embed="rId43" cstate="hqprint">
                            <a:extLst>
                              <a:ext uri="{28A0092B-C50C-407E-A947-70E740481C1C}">
                                <a14:useLocalDpi xmlns:a14="http://schemas.microsoft.com/office/drawing/2010/main"/>
                              </a:ext>
                            </a:extLst>
                          </a:blip>
                          <a:srcRect/>
                          <a:stretch>
                            <a:fillRect/>
                          </a:stretch>
                        </pic:blipFill>
                        <pic:spPr bwMode="auto">
                          <a:xfrm rot="16200000">
                            <a:off x="0" y="0"/>
                            <a:ext cx="914178" cy="792000"/>
                          </a:xfrm>
                          <a:prstGeom prst="rect">
                            <a:avLst/>
                          </a:prstGeom>
                          <a:ln>
                            <a:noFill/>
                          </a:ln>
                          <a:extLst>
                            <a:ext uri="{53640926-AAD7-44D8-BBD7-CCE9431645EC}">
                              <a14:shadowObscured xmlns:a14="http://schemas.microsoft.com/office/drawing/2010/main"/>
                            </a:ext>
                          </a:extLst>
                        </pic:spPr>
                      </pic:pic>
                    </a:graphicData>
                  </a:graphic>
                </wp:inline>
              </w:drawing>
            </w:r>
          </w:p>
        </w:tc>
      </w:tr>
      <w:tr w:rsidR="008D1DC4" w:rsidRPr="00AB74C2" w14:paraId="5B80E40C" w14:textId="1DD5FA90" w:rsidTr="00CC1E9E">
        <w:trPr>
          <w:cantSplit/>
          <w:trHeight w:val="1679"/>
          <w:jc w:val="right"/>
        </w:trPr>
        <w:tc>
          <w:tcPr>
            <w:tcW w:w="410" w:type="pct"/>
            <w:textDirection w:val="btLr"/>
            <w:vAlign w:val="center"/>
          </w:tcPr>
          <w:p w14:paraId="0E8ACA00" w14:textId="09093707" w:rsidR="004B3C18" w:rsidRPr="00AB74C2" w:rsidRDefault="004B3C18" w:rsidP="00355145">
            <w:pPr>
              <w:ind w:left="113" w:right="113"/>
              <w:jc w:val="center"/>
              <w:rPr>
                <w:rFonts w:ascii="Times New Roman" w:hAnsi="Times New Roman" w:cs="Times New Roman"/>
                <w:sz w:val="18"/>
                <w:szCs w:val="18"/>
                <w:lang w:val="en-IN"/>
              </w:rPr>
            </w:pPr>
            <w:r w:rsidRPr="00AB74C2">
              <w:rPr>
                <w:rFonts w:ascii="Times New Roman" w:hAnsi="Times New Roman" w:cs="Times New Roman"/>
                <w:b/>
                <w:bCs/>
                <w:sz w:val="18"/>
                <w:szCs w:val="18"/>
                <w:lang w:val="en-IN"/>
              </w:rPr>
              <w:t>Technique</w:t>
            </w:r>
          </w:p>
        </w:tc>
        <w:tc>
          <w:tcPr>
            <w:tcW w:w="808" w:type="pct"/>
            <w:textDirection w:val="btLr"/>
            <w:vAlign w:val="center"/>
          </w:tcPr>
          <w:p w14:paraId="7D741CF7" w14:textId="2ADDF337" w:rsidR="004B3C18" w:rsidRPr="00AB74C2" w:rsidRDefault="00951F96" w:rsidP="00355145">
            <w:pPr>
              <w:ind w:left="113" w:right="113"/>
              <w:jc w:val="center"/>
              <w:rPr>
                <w:rFonts w:ascii="Times New Roman" w:hAnsi="Times New Roman" w:cs="Times New Roman"/>
                <w:sz w:val="18"/>
                <w:szCs w:val="18"/>
                <w:lang w:val="en-IN"/>
              </w:rPr>
            </w:pPr>
            <w:r w:rsidRPr="00AB74C2">
              <w:rPr>
                <w:rFonts w:ascii="Times New Roman" w:hAnsi="Times New Roman" w:cs="Times New Roman"/>
                <w:sz w:val="18"/>
                <w:szCs w:val="18"/>
              </w:rPr>
              <w:t>Liquid chromatography- tandem mass spectrometry (LC-MS/MS)</w:t>
            </w:r>
          </w:p>
        </w:tc>
        <w:tc>
          <w:tcPr>
            <w:tcW w:w="869" w:type="pct"/>
            <w:textDirection w:val="btLr"/>
            <w:vAlign w:val="center"/>
          </w:tcPr>
          <w:p w14:paraId="6A883C6D" w14:textId="1D57681B" w:rsidR="004B3C18" w:rsidRPr="00AB74C2" w:rsidRDefault="00951F96" w:rsidP="00355145">
            <w:pPr>
              <w:ind w:left="113" w:right="113"/>
              <w:jc w:val="center"/>
              <w:rPr>
                <w:rFonts w:ascii="Times New Roman" w:hAnsi="Times New Roman" w:cs="Times New Roman"/>
                <w:sz w:val="18"/>
                <w:szCs w:val="18"/>
                <w:lang w:val="en-IN"/>
              </w:rPr>
            </w:pPr>
            <w:r w:rsidRPr="00AB74C2">
              <w:rPr>
                <w:rFonts w:ascii="Times New Roman" w:hAnsi="Times New Roman" w:cs="Times New Roman"/>
                <w:sz w:val="18"/>
                <w:szCs w:val="18"/>
              </w:rPr>
              <w:t>Ultra performance liquid chromatography (UPLC-DAD)</w:t>
            </w:r>
          </w:p>
        </w:tc>
        <w:tc>
          <w:tcPr>
            <w:tcW w:w="989" w:type="pct"/>
            <w:textDirection w:val="btLr"/>
            <w:vAlign w:val="center"/>
          </w:tcPr>
          <w:p w14:paraId="07830807" w14:textId="58D384F1" w:rsidR="004B3C18" w:rsidRPr="00AB74C2" w:rsidRDefault="00951F96" w:rsidP="00CC1E9E">
            <w:pPr>
              <w:ind w:left="113" w:right="113"/>
              <w:jc w:val="center"/>
              <w:rPr>
                <w:rFonts w:ascii="Times New Roman" w:hAnsi="Times New Roman" w:cs="Times New Roman"/>
                <w:sz w:val="18"/>
                <w:szCs w:val="18"/>
                <w:lang w:val="en-IN"/>
              </w:rPr>
            </w:pPr>
            <w:r w:rsidRPr="00AB74C2">
              <w:rPr>
                <w:rFonts w:ascii="Times New Roman" w:hAnsi="Times New Roman" w:cs="Times New Roman"/>
                <w:sz w:val="18"/>
                <w:szCs w:val="18"/>
                <w:lang w:val="en-IN"/>
              </w:rPr>
              <w:t>High-performance liquid chromatography (HPLC)</w:t>
            </w:r>
          </w:p>
        </w:tc>
        <w:tc>
          <w:tcPr>
            <w:tcW w:w="922" w:type="pct"/>
            <w:textDirection w:val="btLr"/>
            <w:vAlign w:val="center"/>
          </w:tcPr>
          <w:p w14:paraId="48D7B3A2" w14:textId="03A3C99F" w:rsidR="004B3C18" w:rsidRPr="00AB74C2" w:rsidRDefault="00951F96" w:rsidP="00355145">
            <w:pPr>
              <w:ind w:left="113" w:right="113"/>
              <w:jc w:val="center"/>
              <w:rPr>
                <w:rFonts w:ascii="Times New Roman" w:hAnsi="Times New Roman" w:cs="Times New Roman"/>
                <w:noProof/>
                <w:sz w:val="18"/>
                <w:szCs w:val="18"/>
                <w:lang w:val="en-IN"/>
              </w:rPr>
            </w:pPr>
            <w:r w:rsidRPr="00AB74C2">
              <w:rPr>
                <w:rFonts w:ascii="Times New Roman" w:hAnsi="Times New Roman" w:cs="Times New Roman"/>
                <w:sz w:val="18"/>
                <w:szCs w:val="18"/>
                <w:lang w:val="en-IN"/>
              </w:rPr>
              <w:t>Liquid chromatography Diode array detector (LC/DAD)</w:t>
            </w:r>
          </w:p>
        </w:tc>
        <w:tc>
          <w:tcPr>
            <w:tcW w:w="1002" w:type="pct"/>
            <w:textDirection w:val="btLr"/>
            <w:vAlign w:val="center"/>
          </w:tcPr>
          <w:p w14:paraId="34FA385C" w14:textId="2BC1BF65" w:rsidR="004B3C18" w:rsidRPr="00AB74C2" w:rsidRDefault="00951F96" w:rsidP="00355145">
            <w:pPr>
              <w:ind w:left="113" w:right="113"/>
              <w:jc w:val="center"/>
              <w:rPr>
                <w:rFonts w:ascii="Times New Roman" w:hAnsi="Times New Roman" w:cs="Times New Roman"/>
                <w:noProof/>
                <w:sz w:val="18"/>
                <w:szCs w:val="18"/>
                <w:lang w:val="en-IN"/>
              </w:rPr>
            </w:pPr>
            <w:r w:rsidRPr="00AB74C2">
              <w:rPr>
                <w:rFonts w:ascii="Times New Roman" w:hAnsi="Times New Roman" w:cs="Times New Roman"/>
                <w:sz w:val="18"/>
                <w:szCs w:val="18"/>
                <w:lang w:val="en-IN"/>
              </w:rPr>
              <w:t>Thin-layer chromatography image analysis (TLC-IA)</w:t>
            </w:r>
          </w:p>
        </w:tc>
      </w:tr>
      <w:tr w:rsidR="008D1DC4" w:rsidRPr="00AB74C2" w14:paraId="7D76084B" w14:textId="7E50F749" w:rsidTr="00AB74C2">
        <w:trPr>
          <w:cantSplit/>
          <w:trHeight w:val="1500"/>
          <w:jc w:val="right"/>
        </w:trPr>
        <w:tc>
          <w:tcPr>
            <w:tcW w:w="410" w:type="pct"/>
            <w:textDirection w:val="btLr"/>
            <w:vAlign w:val="center"/>
          </w:tcPr>
          <w:p w14:paraId="354D5F18" w14:textId="38133F1A" w:rsidR="004B3C18" w:rsidRPr="00AB74C2" w:rsidRDefault="004B3C18" w:rsidP="00355145">
            <w:pPr>
              <w:ind w:left="113" w:right="113"/>
              <w:jc w:val="center"/>
              <w:rPr>
                <w:rFonts w:ascii="Times New Roman" w:hAnsi="Times New Roman" w:cs="Times New Roman"/>
                <w:sz w:val="18"/>
                <w:szCs w:val="18"/>
                <w:lang w:val="en-IN"/>
              </w:rPr>
            </w:pPr>
            <w:r w:rsidRPr="00AB74C2">
              <w:rPr>
                <w:rFonts w:ascii="Times New Roman" w:hAnsi="Times New Roman" w:cs="Times New Roman"/>
                <w:b/>
                <w:bCs/>
                <w:sz w:val="18"/>
                <w:szCs w:val="18"/>
                <w:lang w:val="en-IN"/>
              </w:rPr>
              <w:t>Sam Pre-treatment and Ext</w:t>
            </w:r>
            <w:r w:rsidR="00CC1E9E" w:rsidRPr="00AB74C2">
              <w:rPr>
                <w:rFonts w:ascii="Times New Roman" w:hAnsi="Times New Roman" w:cs="Times New Roman"/>
                <w:b/>
                <w:bCs/>
                <w:sz w:val="18"/>
                <w:szCs w:val="18"/>
                <w:lang w:val="en-IN"/>
              </w:rPr>
              <w:t>.</w:t>
            </w:r>
            <w:r w:rsidRPr="00AB74C2">
              <w:rPr>
                <w:rFonts w:ascii="Times New Roman" w:hAnsi="Times New Roman" w:cs="Times New Roman"/>
                <w:b/>
                <w:bCs/>
                <w:sz w:val="18"/>
                <w:szCs w:val="18"/>
                <w:lang w:val="en-IN"/>
              </w:rPr>
              <w:t xml:space="preserve"> Method</w:t>
            </w:r>
          </w:p>
        </w:tc>
        <w:tc>
          <w:tcPr>
            <w:tcW w:w="808" w:type="pct"/>
            <w:textDirection w:val="btLr"/>
            <w:vAlign w:val="center"/>
          </w:tcPr>
          <w:p w14:paraId="7445F8A1" w14:textId="5B8903D0" w:rsidR="004B3C18" w:rsidRPr="00AB74C2" w:rsidRDefault="004B3C18" w:rsidP="00355145">
            <w:pPr>
              <w:ind w:left="113" w:right="113"/>
              <w:jc w:val="center"/>
              <w:rPr>
                <w:rFonts w:ascii="Times New Roman" w:hAnsi="Times New Roman" w:cs="Times New Roman"/>
                <w:sz w:val="18"/>
                <w:szCs w:val="18"/>
                <w:lang w:val="en-IN"/>
              </w:rPr>
            </w:pPr>
            <w:proofErr w:type="spellStart"/>
            <w:r w:rsidRPr="00AB74C2">
              <w:rPr>
                <w:rFonts w:ascii="Times New Roman" w:hAnsi="Times New Roman" w:cs="Times New Roman"/>
                <w:sz w:val="18"/>
                <w:szCs w:val="18"/>
              </w:rPr>
              <w:t>Electromembrane</w:t>
            </w:r>
            <w:proofErr w:type="spellEnd"/>
            <w:r w:rsidRPr="00AB74C2">
              <w:rPr>
                <w:rFonts w:ascii="Times New Roman" w:hAnsi="Times New Roman" w:cs="Times New Roman"/>
                <w:sz w:val="18"/>
                <w:szCs w:val="18"/>
              </w:rPr>
              <w:t xml:space="preserve"> extraction (EME)</w:t>
            </w:r>
          </w:p>
        </w:tc>
        <w:tc>
          <w:tcPr>
            <w:tcW w:w="869" w:type="pct"/>
            <w:textDirection w:val="btLr"/>
            <w:vAlign w:val="center"/>
          </w:tcPr>
          <w:p w14:paraId="3B601B52" w14:textId="7017543F" w:rsidR="004B3C18" w:rsidRPr="00AB74C2" w:rsidRDefault="004B3C18" w:rsidP="00355145">
            <w:pPr>
              <w:ind w:left="113" w:right="113"/>
              <w:jc w:val="center"/>
              <w:rPr>
                <w:rFonts w:ascii="Times New Roman" w:hAnsi="Times New Roman" w:cs="Times New Roman"/>
                <w:sz w:val="18"/>
                <w:szCs w:val="18"/>
                <w:lang w:val="en-IN"/>
              </w:rPr>
            </w:pPr>
            <w:r w:rsidRPr="00AB74C2">
              <w:rPr>
                <w:rFonts w:ascii="Times New Roman" w:hAnsi="Times New Roman" w:cs="Times New Roman"/>
                <w:sz w:val="18"/>
                <w:szCs w:val="18"/>
              </w:rPr>
              <w:t>Liquid-liquid extraction (LLE)</w:t>
            </w:r>
          </w:p>
        </w:tc>
        <w:tc>
          <w:tcPr>
            <w:tcW w:w="989" w:type="pct"/>
            <w:textDirection w:val="btLr"/>
            <w:vAlign w:val="center"/>
          </w:tcPr>
          <w:p w14:paraId="7104E2BE" w14:textId="043E4051" w:rsidR="004B3C18" w:rsidRPr="00AB74C2" w:rsidRDefault="004B3C18" w:rsidP="00355145">
            <w:pPr>
              <w:ind w:left="113" w:right="113"/>
              <w:jc w:val="center"/>
              <w:rPr>
                <w:rFonts w:ascii="Times New Roman" w:hAnsi="Times New Roman" w:cs="Times New Roman"/>
                <w:sz w:val="18"/>
                <w:szCs w:val="18"/>
                <w:lang w:val="en-IN"/>
              </w:rPr>
            </w:pPr>
            <w:r w:rsidRPr="00AB74C2">
              <w:rPr>
                <w:rFonts w:ascii="Times New Roman" w:hAnsi="Times New Roman" w:cs="Times New Roman"/>
                <w:sz w:val="18"/>
                <w:szCs w:val="18"/>
                <w:lang w:val="en-IN"/>
              </w:rPr>
              <w:t>Solid phase extraction (SPE)</w:t>
            </w:r>
          </w:p>
        </w:tc>
        <w:tc>
          <w:tcPr>
            <w:tcW w:w="922" w:type="pct"/>
            <w:textDirection w:val="btLr"/>
            <w:vAlign w:val="center"/>
          </w:tcPr>
          <w:p w14:paraId="637B7793" w14:textId="00B3BD27" w:rsidR="004B3C18" w:rsidRPr="00AB74C2" w:rsidRDefault="004B3C18" w:rsidP="00355145">
            <w:pPr>
              <w:ind w:left="113" w:right="113"/>
              <w:jc w:val="center"/>
              <w:rPr>
                <w:rFonts w:ascii="Times New Roman" w:hAnsi="Times New Roman" w:cs="Times New Roman"/>
                <w:noProof/>
                <w:sz w:val="18"/>
                <w:szCs w:val="18"/>
                <w:lang w:val="en-IN"/>
              </w:rPr>
            </w:pPr>
            <w:r w:rsidRPr="00AB74C2">
              <w:rPr>
                <w:rFonts w:ascii="Times New Roman" w:hAnsi="Times New Roman" w:cs="Times New Roman"/>
                <w:sz w:val="18"/>
                <w:szCs w:val="18"/>
                <w:lang w:val="en-IN"/>
              </w:rPr>
              <w:t>Liquid-liquid extraction (LLE)</w:t>
            </w:r>
          </w:p>
        </w:tc>
        <w:tc>
          <w:tcPr>
            <w:tcW w:w="1002" w:type="pct"/>
            <w:textDirection w:val="btLr"/>
            <w:vAlign w:val="center"/>
          </w:tcPr>
          <w:p w14:paraId="032BB1DF" w14:textId="77B6CD49" w:rsidR="004B3C18" w:rsidRPr="00AB74C2" w:rsidRDefault="004B3C18" w:rsidP="00355145">
            <w:pPr>
              <w:ind w:left="113" w:right="113"/>
              <w:jc w:val="center"/>
              <w:rPr>
                <w:rFonts w:ascii="Times New Roman" w:hAnsi="Times New Roman" w:cs="Times New Roman"/>
                <w:noProof/>
                <w:sz w:val="18"/>
                <w:szCs w:val="18"/>
                <w:lang w:val="en-IN"/>
              </w:rPr>
            </w:pPr>
            <w:proofErr w:type="spellStart"/>
            <w:r w:rsidRPr="00AB74C2">
              <w:rPr>
                <w:rFonts w:ascii="Times New Roman" w:hAnsi="Times New Roman" w:cs="Times New Roman"/>
                <w:sz w:val="18"/>
                <w:szCs w:val="18"/>
                <w:lang w:val="en-IN"/>
              </w:rPr>
              <w:t>Ultrasonicator</w:t>
            </w:r>
            <w:proofErr w:type="spellEnd"/>
            <w:r w:rsidRPr="00AB74C2">
              <w:rPr>
                <w:rFonts w:ascii="Times New Roman" w:hAnsi="Times New Roman" w:cs="Times New Roman"/>
                <w:sz w:val="18"/>
                <w:szCs w:val="18"/>
                <w:lang w:val="en-IN"/>
              </w:rPr>
              <w:t>-assisted dispersive liquid-liquid microextraction (UA-DLLME)</w:t>
            </w:r>
          </w:p>
        </w:tc>
      </w:tr>
      <w:tr w:rsidR="008D1DC4" w:rsidRPr="00AB74C2" w14:paraId="6DFA32E3" w14:textId="3E535F59" w:rsidTr="00CC1E9E">
        <w:trPr>
          <w:cantSplit/>
          <w:trHeight w:val="910"/>
          <w:jc w:val="right"/>
        </w:trPr>
        <w:tc>
          <w:tcPr>
            <w:tcW w:w="410" w:type="pct"/>
            <w:textDirection w:val="btLr"/>
            <w:vAlign w:val="center"/>
          </w:tcPr>
          <w:p w14:paraId="0F3D7311" w14:textId="4326CAE9" w:rsidR="004B3C18" w:rsidRPr="00AB74C2" w:rsidRDefault="004B3C18" w:rsidP="00355145">
            <w:pPr>
              <w:ind w:left="113" w:right="113"/>
              <w:jc w:val="center"/>
              <w:rPr>
                <w:rFonts w:ascii="Times New Roman" w:hAnsi="Times New Roman" w:cs="Times New Roman"/>
                <w:sz w:val="18"/>
                <w:szCs w:val="18"/>
                <w:lang w:val="en-IN"/>
              </w:rPr>
            </w:pPr>
            <w:r w:rsidRPr="00AB74C2">
              <w:rPr>
                <w:rFonts w:ascii="Times New Roman" w:hAnsi="Times New Roman" w:cs="Times New Roman"/>
                <w:b/>
                <w:bCs/>
                <w:sz w:val="18"/>
                <w:szCs w:val="18"/>
                <w:lang w:val="en-IN"/>
              </w:rPr>
              <w:t>Sample Matrix</w:t>
            </w:r>
          </w:p>
        </w:tc>
        <w:tc>
          <w:tcPr>
            <w:tcW w:w="808" w:type="pct"/>
            <w:textDirection w:val="btLr"/>
            <w:vAlign w:val="center"/>
          </w:tcPr>
          <w:p w14:paraId="4374060D" w14:textId="729E4AC3" w:rsidR="004B3C18" w:rsidRPr="00AB74C2" w:rsidRDefault="004B3C18" w:rsidP="00355145">
            <w:pPr>
              <w:ind w:left="113" w:right="113"/>
              <w:jc w:val="center"/>
              <w:rPr>
                <w:rFonts w:ascii="Times New Roman" w:hAnsi="Times New Roman" w:cs="Times New Roman"/>
                <w:sz w:val="18"/>
                <w:szCs w:val="18"/>
                <w:lang w:val="en-IN"/>
              </w:rPr>
            </w:pPr>
            <w:r w:rsidRPr="00AB74C2">
              <w:rPr>
                <w:rFonts w:ascii="Times New Roman" w:hAnsi="Times New Roman" w:cs="Times New Roman"/>
                <w:sz w:val="18"/>
                <w:szCs w:val="18"/>
              </w:rPr>
              <w:t>Blood and urine</w:t>
            </w:r>
          </w:p>
        </w:tc>
        <w:tc>
          <w:tcPr>
            <w:tcW w:w="869" w:type="pct"/>
            <w:textDirection w:val="btLr"/>
            <w:vAlign w:val="center"/>
          </w:tcPr>
          <w:p w14:paraId="55190760" w14:textId="2F378B06" w:rsidR="004B3C18" w:rsidRPr="00AB74C2" w:rsidRDefault="004B3C18" w:rsidP="00355145">
            <w:pPr>
              <w:ind w:left="113" w:right="113"/>
              <w:jc w:val="center"/>
              <w:rPr>
                <w:rFonts w:ascii="Times New Roman" w:hAnsi="Times New Roman" w:cs="Times New Roman"/>
                <w:sz w:val="18"/>
                <w:szCs w:val="18"/>
                <w:lang w:val="en-IN"/>
              </w:rPr>
            </w:pPr>
            <w:r w:rsidRPr="00AB74C2">
              <w:rPr>
                <w:rFonts w:ascii="Times New Roman" w:hAnsi="Times New Roman" w:cs="Times New Roman"/>
                <w:sz w:val="18"/>
                <w:szCs w:val="18"/>
              </w:rPr>
              <w:t>Human Plasma</w:t>
            </w:r>
          </w:p>
        </w:tc>
        <w:tc>
          <w:tcPr>
            <w:tcW w:w="989" w:type="pct"/>
            <w:textDirection w:val="btLr"/>
            <w:vAlign w:val="center"/>
          </w:tcPr>
          <w:p w14:paraId="3C3CC1DF" w14:textId="56143B39" w:rsidR="004B3C18" w:rsidRPr="00AB74C2" w:rsidRDefault="004B3C18" w:rsidP="00355145">
            <w:pPr>
              <w:ind w:left="113" w:right="113"/>
              <w:jc w:val="center"/>
              <w:rPr>
                <w:rFonts w:ascii="Times New Roman" w:hAnsi="Times New Roman" w:cs="Times New Roman"/>
                <w:sz w:val="18"/>
                <w:szCs w:val="18"/>
                <w:lang w:val="en-IN"/>
              </w:rPr>
            </w:pPr>
            <w:r w:rsidRPr="00AB74C2">
              <w:rPr>
                <w:rFonts w:ascii="Times New Roman" w:hAnsi="Times New Roman" w:cs="Times New Roman"/>
                <w:sz w:val="18"/>
                <w:szCs w:val="18"/>
                <w:lang w:val="en-IN"/>
              </w:rPr>
              <w:t>Urine</w:t>
            </w:r>
          </w:p>
        </w:tc>
        <w:tc>
          <w:tcPr>
            <w:tcW w:w="922" w:type="pct"/>
            <w:textDirection w:val="btLr"/>
            <w:vAlign w:val="center"/>
          </w:tcPr>
          <w:p w14:paraId="01E6533E" w14:textId="6BF4DA34" w:rsidR="004B3C18" w:rsidRPr="00AB74C2" w:rsidRDefault="004B3C18" w:rsidP="00355145">
            <w:pPr>
              <w:ind w:left="113" w:right="113"/>
              <w:jc w:val="center"/>
              <w:rPr>
                <w:rFonts w:ascii="Times New Roman" w:hAnsi="Times New Roman" w:cs="Times New Roman"/>
                <w:noProof/>
                <w:sz w:val="18"/>
                <w:szCs w:val="18"/>
                <w:lang w:val="en-IN"/>
              </w:rPr>
            </w:pPr>
            <w:r w:rsidRPr="00AB74C2">
              <w:rPr>
                <w:rFonts w:ascii="Times New Roman" w:hAnsi="Times New Roman" w:cs="Times New Roman"/>
                <w:sz w:val="18"/>
                <w:szCs w:val="18"/>
                <w:lang w:val="en-IN"/>
              </w:rPr>
              <w:t>Human serum</w:t>
            </w:r>
          </w:p>
        </w:tc>
        <w:tc>
          <w:tcPr>
            <w:tcW w:w="1002" w:type="pct"/>
            <w:textDirection w:val="btLr"/>
            <w:vAlign w:val="center"/>
          </w:tcPr>
          <w:p w14:paraId="1F7DC10A" w14:textId="2059D513" w:rsidR="004B3C18" w:rsidRPr="00AB74C2" w:rsidRDefault="004B3C18" w:rsidP="00355145">
            <w:pPr>
              <w:ind w:left="113" w:right="113"/>
              <w:jc w:val="center"/>
              <w:rPr>
                <w:rFonts w:ascii="Times New Roman" w:hAnsi="Times New Roman" w:cs="Times New Roman"/>
                <w:noProof/>
                <w:sz w:val="18"/>
                <w:szCs w:val="18"/>
                <w:lang w:val="en-IN"/>
              </w:rPr>
            </w:pPr>
            <w:r w:rsidRPr="00AB74C2">
              <w:rPr>
                <w:rFonts w:ascii="Times New Roman" w:hAnsi="Times New Roman" w:cs="Times New Roman"/>
                <w:sz w:val="18"/>
                <w:szCs w:val="18"/>
                <w:lang w:val="en-IN"/>
              </w:rPr>
              <w:t>Blood, urine, and pill</w:t>
            </w:r>
          </w:p>
        </w:tc>
      </w:tr>
      <w:tr w:rsidR="008D1DC4" w:rsidRPr="00AB74C2" w14:paraId="719FEBEF" w14:textId="36634FBC" w:rsidTr="00CC1E9E">
        <w:trPr>
          <w:cantSplit/>
          <w:trHeight w:val="550"/>
          <w:jc w:val="right"/>
        </w:trPr>
        <w:tc>
          <w:tcPr>
            <w:tcW w:w="410" w:type="pct"/>
            <w:textDirection w:val="btLr"/>
            <w:vAlign w:val="center"/>
          </w:tcPr>
          <w:p w14:paraId="14D3547C" w14:textId="62C41C07" w:rsidR="004B3C18" w:rsidRPr="00AB74C2" w:rsidRDefault="004B3C18" w:rsidP="00355145">
            <w:pPr>
              <w:ind w:left="113" w:right="113"/>
              <w:jc w:val="center"/>
              <w:rPr>
                <w:rFonts w:ascii="Times New Roman" w:hAnsi="Times New Roman" w:cs="Times New Roman"/>
                <w:b/>
                <w:bCs/>
                <w:sz w:val="18"/>
                <w:szCs w:val="18"/>
                <w:lang w:val="en-IN"/>
              </w:rPr>
            </w:pPr>
            <w:r w:rsidRPr="00AB74C2">
              <w:rPr>
                <w:rFonts w:ascii="Times New Roman" w:hAnsi="Times New Roman" w:cs="Times New Roman"/>
                <w:b/>
                <w:bCs/>
                <w:sz w:val="18"/>
                <w:szCs w:val="18"/>
                <w:lang w:val="en-IN"/>
              </w:rPr>
              <w:t>Sr. No.</w:t>
            </w:r>
          </w:p>
        </w:tc>
        <w:tc>
          <w:tcPr>
            <w:tcW w:w="808" w:type="pct"/>
            <w:textDirection w:val="btLr"/>
            <w:vAlign w:val="center"/>
          </w:tcPr>
          <w:p w14:paraId="0A5CCEED" w14:textId="2BED9E61" w:rsidR="004B3C18" w:rsidRPr="00AB74C2" w:rsidRDefault="004B3C18" w:rsidP="00355145">
            <w:pPr>
              <w:ind w:left="113" w:right="113"/>
              <w:jc w:val="center"/>
              <w:rPr>
                <w:rFonts w:ascii="Times New Roman" w:hAnsi="Times New Roman" w:cs="Times New Roman"/>
                <w:sz w:val="18"/>
                <w:szCs w:val="18"/>
                <w:lang w:val="en-IN"/>
              </w:rPr>
            </w:pPr>
            <w:r w:rsidRPr="00AB74C2">
              <w:rPr>
                <w:rFonts w:ascii="Times New Roman" w:hAnsi="Times New Roman" w:cs="Times New Roman"/>
                <w:sz w:val="18"/>
                <w:szCs w:val="18"/>
                <w:lang w:val="en-IN"/>
              </w:rPr>
              <w:t>1</w:t>
            </w:r>
          </w:p>
        </w:tc>
        <w:tc>
          <w:tcPr>
            <w:tcW w:w="869" w:type="pct"/>
            <w:textDirection w:val="btLr"/>
            <w:vAlign w:val="center"/>
          </w:tcPr>
          <w:p w14:paraId="257AFE37" w14:textId="55E1B957" w:rsidR="004B3C18" w:rsidRPr="00AB74C2" w:rsidRDefault="004B3C18" w:rsidP="00355145">
            <w:pPr>
              <w:ind w:left="113" w:right="113"/>
              <w:jc w:val="center"/>
              <w:rPr>
                <w:rFonts w:ascii="Times New Roman" w:hAnsi="Times New Roman" w:cs="Times New Roman"/>
                <w:sz w:val="18"/>
                <w:szCs w:val="18"/>
                <w:lang w:val="en-IN"/>
              </w:rPr>
            </w:pPr>
            <w:r w:rsidRPr="00AB74C2">
              <w:rPr>
                <w:rFonts w:ascii="Times New Roman" w:hAnsi="Times New Roman" w:cs="Times New Roman"/>
                <w:sz w:val="18"/>
                <w:szCs w:val="18"/>
                <w:lang w:val="en-IN"/>
              </w:rPr>
              <w:t>2</w:t>
            </w:r>
          </w:p>
        </w:tc>
        <w:tc>
          <w:tcPr>
            <w:tcW w:w="989" w:type="pct"/>
            <w:textDirection w:val="btLr"/>
            <w:vAlign w:val="center"/>
          </w:tcPr>
          <w:p w14:paraId="7A774C95" w14:textId="4F903118" w:rsidR="004B3C18" w:rsidRPr="00AB74C2" w:rsidRDefault="004B3C18" w:rsidP="00355145">
            <w:pPr>
              <w:ind w:left="113" w:right="113"/>
              <w:jc w:val="center"/>
              <w:rPr>
                <w:rFonts w:ascii="Times New Roman" w:hAnsi="Times New Roman" w:cs="Times New Roman"/>
                <w:sz w:val="18"/>
                <w:szCs w:val="18"/>
                <w:lang w:val="en-IN"/>
              </w:rPr>
            </w:pPr>
            <w:r w:rsidRPr="00AB74C2">
              <w:rPr>
                <w:rFonts w:ascii="Times New Roman" w:hAnsi="Times New Roman" w:cs="Times New Roman"/>
                <w:sz w:val="18"/>
                <w:szCs w:val="18"/>
                <w:lang w:val="en-IN"/>
              </w:rPr>
              <w:t>3</w:t>
            </w:r>
          </w:p>
        </w:tc>
        <w:tc>
          <w:tcPr>
            <w:tcW w:w="922" w:type="pct"/>
            <w:textDirection w:val="btLr"/>
            <w:vAlign w:val="center"/>
          </w:tcPr>
          <w:p w14:paraId="4DC1F0B5" w14:textId="69B85489" w:rsidR="004B3C18" w:rsidRPr="00AB74C2" w:rsidRDefault="004B3C18" w:rsidP="00355145">
            <w:pPr>
              <w:ind w:left="113" w:right="113"/>
              <w:jc w:val="center"/>
              <w:rPr>
                <w:rFonts w:ascii="Times New Roman" w:hAnsi="Times New Roman" w:cs="Times New Roman"/>
                <w:noProof/>
                <w:sz w:val="18"/>
                <w:szCs w:val="18"/>
                <w:lang w:val="en-IN"/>
              </w:rPr>
            </w:pPr>
            <w:r w:rsidRPr="00AB74C2">
              <w:rPr>
                <w:rFonts w:ascii="Times New Roman" w:hAnsi="Times New Roman" w:cs="Times New Roman"/>
                <w:noProof/>
                <w:sz w:val="18"/>
                <w:szCs w:val="18"/>
                <w:lang w:val="en-IN"/>
              </w:rPr>
              <w:t>4</w:t>
            </w:r>
          </w:p>
        </w:tc>
        <w:tc>
          <w:tcPr>
            <w:tcW w:w="1002" w:type="pct"/>
            <w:textDirection w:val="btLr"/>
            <w:vAlign w:val="center"/>
          </w:tcPr>
          <w:p w14:paraId="1AF6B47E" w14:textId="5F8FFE69" w:rsidR="004B3C18" w:rsidRPr="00AB74C2" w:rsidRDefault="004B3C18" w:rsidP="00355145">
            <w:pPr>
              <w:ind w:left="113" w:right="113"/>
              <w:jc w:val="center"/>
              <w:rPr>
                <w:rFonts w:ascii="Times New Roman" w:hAnsi="Times New Roman" w:cs="Times New Roman"/>
                <w:noProof/>
                <w:sz w:val="18"/>
                <w:szCs w:val="18"/>
                <w:lang w:val="en-IN"/>
              </w:rPr>
            </w:pPr>
            <w:r w:rsidRPr="00AB74C2">
              <w:rPr>
                <w:rFonts w:ascii="Times New Roman" w:hAnsi="Times New Roman" w:cs="Times New Roman"/>
                <w:noProof/>
                <w:sz w:val="18"/>
                <w:szCs w:val="18"/>
                <w:lang w:val="en-IN"/>
              </w:rPr>
              <w:t>5</w:t>
            </w:r>
          </w:p>
        </w:tc>
      </w:tr>
    </w:tbl>
    <w:p w14:paraId="391E0143" w14:textId="77777777" w:rsidR="00CC1E9E" w:rsidRPr="007079DB" w:rsidRDefault="00CC1E9E" w:rsidP="007079DB">
      <w:pPr>
        <w:spacing w:after="0" w:line="360" w:lineRule="auto"/>
        <w:jc w:val="both"/>
        <w:rPr>
          <w:rFonts w:ascii="Times New Roman" w:hAnsi="Times New Roman" w:cs="Times New Roman"/>
          <w:b/>
          <w:bCs/>
          <w:sz w:val="24"/>
          <w:szCs w:val="24"/>
        </w:rPr>
      </w:pPr>
    </w:p>
    <w:p w14:paraId="147E530C" w14:textId="383E0C35" w:rsidR="008E2057" w:rsidRPr="00062C20" w:rsidRDefault="00E97634" w:rsidP="00E97634">
      <w:pPr>
        <w:pStyle w:val="ListParagraph"/>
        <w:numPr>
          <w:ilvl w:val="0"/>
          <w:numId w:val="3"/>
        </w:numPr>
        <w:spacing w:after="0" w:line="360" w:lineRule="auto"/>
        <w:ind w:left="284" w:hanging="284"/>
        <w:jc w:val="both"/>
        <w:rPr>
          <w:rFonts w:ascii="Times New Roman" w:hAnsi="Times New Roman" w:cs="Times New Roman"/>
          <w:b/>
          <w:bCs/>
          <w:sz w:val="24"/>
          <w:szCs w:val="24"/>
        </w:rPr>
      </w:pPr>
      <w:r w:rsidRPr="00062C20">
        <w:rPr>
          <w:rFonts w:ascii="Times New Roman" w:hAnsi="Times New Roman" w:cs="Times New Roman"/>
          <w:b/>
          <w:bCs/>
          <w:sz w:val="24"/>
          <w:szCs w:val="24"/>
        </w:rPr>
        <w:t>Conclusion</w:t>
      </w:r>
      <w:r w:rsidR="00196C0F">
        <w:rPr>
          <w:rFonts w:ascii="Times New Roman" w:hAnsi="Times New Roman" w:cs="Times New Roman"/>
          <w:b/>
          <w:bCs/>
          <w:sz w:val="24"/>
          <w:szCs w:val="24"/>
        </w:rPr>
        <w:t>:</w:t>
      </w:r>
    </w:p>
    <w:p w14:paraId="691792EF" w14:textId="77777777" w:rsidR="00771D00" w:rsidRPr="00771D00" w:rsidRDefault="00771D00" w:rsidP="00771D00">
      <w:pPr>
        <w:spacing w:after="0" w:line="360" w:lineRule="auto"/>
        <w:jc w:val="both"/>
        <w:rPr>
          <w:rFonts w:ascii="Times New Roman" w:hAnsi="Times New Roman" w:cs="Times New Roman"/>
          <w:bCs/>
          <w:sz w:val="24"/>
          <w:szCs w:val="24"/>
        </w:rPr>
      </w:pPr>
      <w:r w:rsidRPr="00771D00">
        <w:rPr>
          <w:rFonts w:ascii="Times New Roman" w:hAnsi="Times New Roman" w:cs="Times New Roman"/>
          <w:bCs/>
          <w:sz w:val="24"/>
          <w:szCs w:val="24"/>
        </w:rPr>
        <w:lastRenderedPageBreak/>
        <w:t xml:space="preserve">The development of sustainable and eco-friendly methodologies has become a modern imperative. Research has increasingly pivoted toward Green Analytical Chemistry (GAC) principles to mitigate the use of hazardous reagents and excessive energy consumption. This study addresses these goals by employing DLLME, a technique that utilizes microliter-scale solvent volumes to meet green sample preparation standards. </w:t>
      </w:r>
    </w:p>
    <w:p w14:paraId="486CDBC7" w14:textId="77777777" w:rsidR="00771D00" w:rsidRPr="00771D00" w:rsidRDefault="00771D00" w:rsidP="00771D00">
      <w:pPr>
        <w:spacing w:after="0" w:line="360" w:lineRule="auto"/>
        <w:jc w:val="both"/>
        <w:rPr>
          <w:rFonts w:ascii="Times New Roman" w:hAnsi="Times New Roman" w:cs="Times New Roman"/>
          <w:bCs/>
          <w:sz w:val="24"/>
          <w:szCs w:val="24"/>
        </w:rPr>
      </w:pPr>
      <w:r w:rsidRPr="00771D00">
        <w:rPr>
          <w:rFonts w:ascii="Times New Roman" w:hAnsi="Times New Roman" w:cs="Times New Roman"/>
          <w:bCs/>
          <w:sz w:val="24"/>
          <w:szCs w:val="24"/>
        </w:rPr>
        <w:t xml:space="preserve">Furthermore, integrating thin-layer chromatography (TLC) with digital image colorimetry eliminates the need for high-end, power-intensive instrumentation. This methodology is not only rapid and cost-effective but also offers superior sample throughput compared to traditional techniques. Its simplicity and lack of overnight preparation make it ideal for resource-limited laboratories and the detection of highly sensitive analytes. </w:t>
      </w:r>
    </w:p>
    <w:p w14:paraId="29857E1F" w14:textId="13382BED" w:rsidR="00E97634" w:rsidRPr="007079DB" w:rsidRDefault="00771D00" w:rsidP="00771D00">
      <w:pPr>
        <w:spacing w:after="0" w:line="360" w:lineRule="auto"/>
        <w:jc w:val="both"/>
        <w:rPr>
          <w:rFonts w:ascii="Times New Roman" w:hAnsi="Times New Roman" w:cs="Times New Roman"/>
          <w:bCs/>
          <w:sz w:val="24"/>
          <w:szCs w:val="24"/>
        </w:rPr>
      </w:pPr>
      <w:r w:rsidRPr="00771D00">
        <w:rPr>
          <w:rFonts w:ascii="Times New Roman" w:hAnsi="Times New Roman" w:cs="Times New Roman"/>
          <w:bCs/>
          <w:sz w:val="24"/>
          <w:szCs w:val="24"/>
        </w:rPr>
        <w:t>Beyond its standalone applications, this approach is compatible with hyphenated systems like HPLC, GC-MS, and LC-MS, effectively reducing chemical waste during initial preparation phases. Evaluation metrics for greenness and practicability demonstrate that this method outperforms previous studies. Given its efficacy in processing minute evidence volumes—often restricted to µL or µg scales—it holds significant promise for forensic science and future analytical innovations.</w:t>
      </w:r>
    </w:p>
    <w:p w14:paraId="54C23B4A" w14:textId="77777777" w:rsidR="00771D00" w:rsidRDefault="00771D00" w:rsidP="00E97634">
      <w:pPr>
        <w:spacing w:after="0" w:line="360" w:lineRule="auto"/>
        <w:jc w:val="both"/>
        <w:rPr>
          <w:rFonts w:ascii="Times New Roman" w:hAnsi="Times New Roman" w:cs="Times New Roman"/>
          <w:b/>
          <w:sz w:val="24"/>
          <w:szCs w:val="24"/>
        </w:rPr>
      </w:pPr>
    </w:p>
    <w:p w14:paraId="299A5AFC" w14:textId="7E2AF535" w:rsidR="00771D00" w:rsidRPr="00771D00" w:rsidRDefault="00771D00" w:rsidP="00771D00">
      <w:pPr>
        <w:pStyle w:val="ListParagraph"/>
        <w:numPr>
          <w:ilvl w:val="0"/>
          <w:numId w:val="3"/>
        </w:numPr>
        <w:spacing w:after="0" w:line="360" w:lineRule="auto"/>
        <w:ind w:left="284" w:hanging="284"/>
        <w:jc w:val="both"/>
        <w:rPr>
          <w:rFonts w:ascii="Times New Roman" w:hAnsi="Times New Roman" w:cs="Times New Roman"/>
          <w:b/>
          <w:sz w:val="24"/>
          <w:szCs w:val="24"/>
        </w:rPr>
      </w:pPr>
      <w:r w:rsidRPr="00771D00">
        <w:rPr>
          <w:rFonts w:ascii="Times New Roman" w:hAnsi="Times New Roman" w:cs="Times New Roman"/>
          <w:b/>
          <w:sz w:val="24"/>
          <w:szCs w:val="24"/>
        </w:rPr>
        <w:t>Declaration of competing interest:</w:t>
      </w:r>
    </w:p>
    <w:p w14:paraId="21A13E9B" w14:textId="1C3A2F70" w:rsidR="00771D00" w:rsidRPr="00710462" w:rsidRDefault="00771D00" w:rsidP="00771D00">
      <w:pPr>
        <w:spacing w:after="0" w:line="360" w:lineRule="auto"/>
        <w:jc w:val="both"/>
        <w:rPr>
          <w:rFonts w:ascii="Times New Roman" w:hAnsi="Times New Roman" w:cs="Times New Roman"/>
          <w:bCs/>
          <w:sz w:val="24"/>
          <w:szCs w:val="24"/>
        </w:rPr>
      </w:pPr>
      <w:r w:rsidRPr="00710462">
        <w:rPr>
          <w:rFonts w:ascii="Times New Roman" w:hAnsi="Times New Roman" w:cs="Times New Roman"/>
          <w:bCs/>
          <w:sz w:val="24"/>
          <w:szCs w:val="24"/>
        </w:rPr>
        <w:t>There was no conflict of interest among the authors</w:t>
      </w:r>
      <w:r>
        <w:rPr>
          <w:rFonts w:ascii="Times New Roman" w:hAnsi="Times New Roman" w:cs="Times New Roman"/>
          <w:bCs/>
          <w:sz w:val="24"/>
          <w:szCs w:val="24"/>
        </w:rPr>
        <w:t>,</w:t>
      </w:r>
      <w:r w:rsidRPr="00710462">
        <w:rPr>
          <w:rFonts w:ascii="Times New Roman" w:hAnsi="Times New Roman" w:cs="Times New Roman"/>
          <w:bCs/>
          <w:sz w:val="24"/>
          <w:szCs w:val="24"/>
        </w:rPr>
        <w:t xml:space="preserve"> and there were no known personal relationships and competing financial interests that could influence the work in any way possible.</w:t>
      </w:r>
    </w:p>
    <w:p w14:paraId="41EB779B" w14:textId="77777777" w:rsidR="00771D00" w:rsidRPr="00710462" w:rsidRDefault="00771D00" w:rsidP="00771D00">
      <w:pPr>
        <w:spacing w:after="0" w:line="360" w:lineRule="auto"/>
        <w:jc w:val="both"/>
        <w:rPr>
          <w:rFonts w:ascii="Times New Roman" w:hAnsi="Times New Roman" w:cs="Times New Roman"/>
          <w:bCs/>
          <w:sz w:val="24"/>
          <w:szCs w:val="24"/>
        </w:rPr>
      </w:pPr>
    </w:p>
    <w:p w14:paraId="0158511A" w14:textId="3732554B" w:rsidR="00771D00" w:rsidRPr="00771D00" w:rsidRDefault="00771D00" w:rsidP="00771D00">
      <w:pPr>
        <w:pStyle w:val="ListParagraph"/>
        <w:numPr>
          <w:ilvl w:val="0"/>
          <w:numId w:val="3"/>
        </w:numPr>
        <w:spacing w:after="0" w:line="360" w:lineRule="auto"/>
        <w:ind w:left="284" w:hanging="284"/>
        <w:jc w:val="both"/>
        <w:rPr>
          <w:rFonts w:ascii="Times New Roman" w:hAnsi="Times New Roman" w:cs="Times New Roman"/>
          <w:b/>
          <w:sz w:val="24"/>
          <w:szCs w:val="24"/>
        </w:rPr>
      </w:pPr>
      <w:r w:rsidRPr="00771D00">
        <w:rPr>
          <w:rFonts w:ascii="Times New Roman" w:hAnsi="Times New Roman" w:cs="Times New Roman"/>
          <w:b/>
          <w:sz w:val="24"/>
          <w:szCs w:val="24"/>
        </w:rPr>
        <w:t>Acknowledgment:</w:t>
      </w:r>
    </w:p>
    <w:p w14:paraId="342BF31D" w14:textId="77777777" w:rsidR="00771D00" w:rsidRPr="00710462" w:rsidRDefault="00771D00" w:rsidP="00771D00">
      <w:pPr>
        <w:spacing w:after="0" w:line="360" w:lineRule="auto"/>
        <w:jc w:val="both"/>
        <w:rPr>
          <w:rFonts w:ascii="Times New Roman" w:hAnsi="Times New Roman" w:cs="Times New Roman"/>
          <w:sz w:val="24"/>
          <w:szCs w:val="24"/>
        </w:rPr>
      </w:pPr>
      <w:r w:rsidRPr="00710462">
        <w:rPr>
          <w:rFonts w:ascii="Times New Roman" w:hAnsi="Times New Roman" w:cs="Times New Roman"/>
          <w:sz w:val="24"/>
          <w:szCs w:val="24"/>
        </w:rPr>
        <w:t xml:space="preserve">The authors are grateful to the Dean of Sharda School of Allied Health Science and the Head of the Department for their continuous support and guidance and for providing facilities to carry out the present work. Financial support of this research by Sharda University, Greater Noida, India under the seed-fund scheme (Project No. </w:t>
      </w:r>
      <w:r w:rsidRPr="00710462">
        <w:rPr>
          <w:rFonts w:ascii="Times New Roman" w:eastAsia="Times New Roman" w:hAnsi="Times New Roman" w:cs="Times New Roman"/>
          <w:sz w:val="24"/>
          <w:szCs w:val="24"/>
          <w:lang w:eastAsia="en-IN"/>
        </w:rPr>
        <w:t>SU/SF/2022/13</w:t>
      </w:r>
      <w:r w:rsidRPr="00710462">
        <w:rPr>
          <w:rFonts w:ascii="Times New Roman" w:hAnsi="Times New Roman" w:cs="Times New Roman"/>
          <w:sz w:val="24"/>
          <w:szCs w:val="24"/>
        </w:rPr>
        <w:t xml:space="preserve">) is gratefully acknowledged. </w:t>
      </w:r>
    </w:p>
    <w:p w14:paraId="151A80DF" w14:textId="77777777" w:rsidR="00771D00" w:rsidRPr="00710462" w:rsidRDefault="00771D00" w:rsidP="00771D00">
      <w:pPr>
        <w:pStyle w:val="ListParagraph"/>
        <w:spacing w:after="0" w:line="360" w:lineRule="auto"/>
        <w:ind w:left="142"/>
        <w:jc w:val="both"/>
        <w:rPr>
          <w:rFonts w:ascii="Times New Roman" w:hAnsi="Times New Roman" w:cs="Times New Roman"/>
          <w:b/>
          <w:bCs/>
          <w:sz w:val="24"/>
          <w:szCs w:val="24"/>
        </w:rPr>
      </w:pPr>
    </w:p>
    <w:p w14:paraId="34CEA81E" w14:textId="526FDB09" w:rsidR="00771D00" w:rsidRPr="00771D00" w:rsidRDefault="00771D00" w:rsidP="00771D00">
      <w:pPr>
        <w:pStyle w:val="ListParagraph"/>
        <w:numPr>
          <w:ilvl w:val="0"/>
          <w:numId w:val="3"/>
        </w:numPr>
        <w:spacing w:after="0" w:line="360" w:lineRule="auto"/>
        <w:ind w:left="284"/>
        <w:jc w:val="both"/>
        <w:rPr>
          <w:rFonts w:ascii="Times New Roman" w:hAnsi="Times New Roman" w:cs="Times New Roman"/>
          <w:b/>
          <w:bCs/>
          <w:sz w:val="24"/>
          <w:szCs w:val="24"/>
        </w:rPr>
      </w:pPr>
      <w:r w:rsidRPr="00771D00">
        <w:rPr>
          <w:rFonts w:ascii="Times New Roman" w:hAnsi="Times New Roman" w:cs="Times New Roman"/>
          <w:b/>
          <w:bCs/>
          <w:sz w:val="24"/>
          <w:szCs w:val="24"/>
        </w:rPr>
        <w:t>Compliance with ethical standards:</w:t>
      </w:r>
    </w:p>
    <w:p w14:paraId="6D1A9936" w14:textId="0A390C6B" w:rsidR="00E97634" w:rsidRPr="00062C20" w:rsidRDefault="00771D00" w:rsidP="00E97634">
      <w:pPr>
        <w:spacing w:after="0" w:line="360" w:lineRule="auto"/>
        <w:jc w:val="both"/>
        <w:rPr>
          <w:rFonts w:ascii="Times New Roman" w:hAnsi="Times New Roman" w:cs="Times New Roman"/>
          <w:b/>
          <w:sz w:val="24"/>
          <w:szCs w:val="24"/>
        </w:rPr>
      </w:pPr>
      <w:r w:rsidRPr="00710462">
        <w:rPr>
          <w:rFonts w:ascii="Times New Roman" w:hAnsi="Times New Roman" w:cs="Times New Roman"/>
          <w:sz w:val="24"/>
          <w:szCs w:val="24"/>
        </w:rPr>
        <w:t xml:space="preserve">The present study was carried out strictly in accordance with “National ethical guidelines from biomedical and health research involving human participants” approved by the Indian Council of </w:t>
      </w:r>
      <w:r w:rsidRPr="00710462">
        <w:rPr>
          <w:rFonts w:ascii="Times New Roman" w:hAnsi="Times New Roman" w:cs="Times New Roman"/>
          <w:sz w:val="24"/>
          <w:szCs w:val="24"/>
        </w:rPr>
        <w:lastRenderedPageBreak/>
        <w:t>Medical Research, New Delhi, and also approved by the Institutional Human Ethical Committee (Ref no. SU/SMS&amp;R/76-A/2023/176).</w:t>
      </w:r>
    </w:p>
    <w:p w14:paraId="0633B02E" w14:textId="77777777" w:rsidR="00E97634" w:rsidRPr="00062C20" w:rsidRDefault="00E97634" w:rsidP="00E97634">
      <w:pPr>
        <w:spacing w:after="0" w:line="360" w:lineRule="auto"/>
        <w:jc w:val="both"/>
        <w:rPr>
          <w:rFonts w:ascii="Times New Roman" w:hAnsi="Times New Roman" w:cs="Times New Roman"/>
          <w:b/>
          <w:sz w:val="24"/>
          <w:szCs w:val="24"/>
        </w:rPr>
      </w:pPr>
    </w:p>
    <w:p w14:paraId="4D44BB71" w14:textId="3074A6E7" w:rsidR="00A4346A" w:rsidRDefault="007724D7" w:rsidP="00E97634">
      <w:pPr>
        <w:spacing w:after="0" w:line="360" w:lineRule="auto"/>
        <w:jc w:val="both"/>
        <w:rPr>
          <w:rFonts w:ascii="Times New Roman" w:hAnsi="Times New Roman" w:cs="Times New Roman"/>
          <w:b/>
          <w:sz w:val="24"/>
          <w:szCs w:val="24"/>
        </w:rPr>
      </w:pPr>
      <w:r w:rsidRPr="00062C20">
        <w:rPr>
          <w:rFonts w:ascii="Times New Roman" w:hAnsi="Times New Roman" w:cs="Times New Roman"/>
          <w:b/>
          <w:sz w:val="24"/>
          <w:szCs w:val="24"/>
        </w:rPr>
        <w:t xml:space="preserve">8. </w:t>
      </w:r>
      <w:r w:rsidR="008E2057" w:rsidRPr="00062C20">
        <w:rPr>
          <w:rFonts w:ascii="Times New Roman" w:hAnsi="Times New Roman" w:cs="Times New Roman"/>
          <w:b/>
          <w:sz w:val="24"/>
          <w:szCs w:val="24"/>
        </w:rPr>
        <w:t>References</w:t>
      </w:r>
      <w:r w:rsidRPr="00062C20">
        <w:rPr>
          <w:rFonts w:ascii="Times New Roman" w:hAnsi="Times New Roman" w:cs="Times New Roman"/>
          <w:b/>
          <w:sz w:val="24"/>
          <w:szCs w:val="24"/>
        </w:rPr>
        <w:t>:</w:t>
      </w:r>
    </w:p>
    <w:p w14:paraId="216DD0AF" w14:textId="0435276B" w:rsidR="002B73AC" w:rsidRPr="00ED1358" w:rsidRDefault="00ED1358" w:rsidP="00ED1358">
      <w:pPr>
        <w:pStyle w:val="Bibliography"/>
        <w:spacing w:line="360" w:lineRule="auto"/>
        <w:jc w:val="both"/>
        <w:rPr>
          <w:rFonts w:ascii="Times New Roman" w:hAnsi="Times New Roman" w:cs="Times New Roman"/>
          <w:sz w:val="24"/>
        </w:rPr>
      </w:pPr>
      <w:r>
        <w:rPr>
          <w:rFonts w:ascii="Times New Roman" w:hAnsi="Times New Roman" w:cs="Times New Roman"/>
          <w:bCs/>
          <w:sz w:val="24"/>
          <w:szCs w:val="24"/>
        </w:rPr>
        <w:t xml:space="preserve">[1] </w:t>
      </w:r>
      <w:r w:rsidR="00516938" w:rsidRPr="00ED1358">
        <w:rPr>
          <w:rFonts w:ascii="Times New Roman" w:hAnsi="Times New Roman" w:cs="Times New Roman"/>
          <w:bCs/>
          <w:sz w:val="24"/>
          <w:szCs w:val="24"/>
        </w:rPr>
        <w:fldChar w:fldCharType="begin"/>
      </w:r>
      <w:r w:rsidR="00516938" w:rsidRPr="00ED1358">
        <w:rPr>
          <w:rFonts w:ascii="Times New Roman" w:hAnsi="Times New Roman" w:cs="Times New Roman"/>
          <w:bCs/>
          <w:sz w:val="24"/>
          <w:szCs w:val="24"/>
        </w:rPr>
        <w:instrText xml:space="preserve"> ADDIN ZOTERO_BIBL {"uncited":[],"omitted":[],"custom":[]} CSL_BIBLIOGRAPHY </w:instrText>
      </w:r>
      <w:r w:rsidR="00516938" w:rsidRPr="00ED1358">
        <w:rPr>
          <w:rFonts w:ascii="Times New Roman" w:hAnsi="Times New Roman" w:cs="Times New Roman"/>
          <w:bCs/>
          <w:sz w:val="24"/>
          <w:szCs w:val="24"/>
        </w:rPr>
        <w:fldChar w:fldCharType="separate"/>
      </w:r>
      <w:r w:rsidR="002B73AC" w:rsidRPr="00ED1358">
        <w:rPr>
          <w:rFonts w:ascii="Times New Roman" w:hAnsi="Times New Roman" w:cs="Times New Roman"/>
          <w:sz w:val="24"/>
        </w:rPr>
        <w:t xml:space="preserve">Belova, M. V., Klyuyev, E. A., Melnikov, E. S., &amp; Poryadina, M. N. (2020). Chemical and Toxicological Diagnosis of Acute Poisoning with Clozapine, Olanzapine, Quetiapine and Risperidone. </w:t>
      </w:r>
      <w:r w:rsidR="002B73AC" w:rsidRPr="00ED1358">
        <w:rPr>
          <w:rFonts w:ascii="Times New Roman" w:hAnsi="Times New Roman" w:cs="Times New Roman"/>
          <w:i/>
          <w:iCs/>
          <w:sz w:val="24"/>
        </w:rPr>
        <w:t>Russian Sklifosovsky Journal “Emergency Medical Care,”</w:t>
      </w:r>
      <w:r w:rsidR="002B73AC" w:rsidRPr="00ED1358">
        <w:rPr>
          <w:rFonts w:ascii="Times New Roman" w:hAnsi="Times New Roman" w:cs="Times New Roman"/>
          <w:sz w:val="24"/>
        </w:rPr>
        <w:t xml:space="preserve"> </w:t>
      </w:r>
      <w:r w:rsidR="002B73AC" w:rsidRPr="00ED1358">
        <w:rPr>
          <w:rFonts w:ascii="Times New Roman" w:hAnsi="Times New Roman" w:cs="Times New Roman"/>
          <w:i/>
          <w:iCs/>
          <w:sz w:val="24"/>
        </w:rPr>
        <w:t>9</w:t>
      </w:r>
      <w:r w:rsidR="002B73AC" w:rsidRPr="00ED1358">
        <w:rPr>
          <w:rFonts w:ascii="Times New Roman" w:hAnsi="Times New Roman" w:cs="Times New Roman"/>
          <w:sz w:val="24"/>
        </w:rPr>
        <w:t>(2), 188–194. https://doi.org/10.23934/2223-9022-2020-9-2-188-194</w:t>
      </w:r>
    </w:p>
    <w:p w14:paraId="0CEB8260" w14:textId="16932312" w:rsidR="002B73AC" w:rsidRPr="00ED1358" w:rsidRDefault="00ED1358" w:rsidP="00ED1358">
      <w:pPr>
        <w:pStyle w:val="Bibliography"/>
        <w:spacing w:line="360" w:lineRule="auto"/>
        <w:jc w:val="both"/>
        <w:rPr>
          <w:rFonts w:ascii="Times New Roman" w:hAnsi="Times New Roman" w:cs="Times New Roman"/>
          <w:sz w:val="24"/>
        </w:rPr>
      </w:pPr>
      <w:r>
        <w:rPr>
          <w:rFonts w:ascii="Times New Roman" w:hAnsi="Times New Roman" w:cs="Times New Roman"/>
          <w:sz w:val="24"/>
        </w:rPr>
        <w:t xml:space="preserve">[2] </w:t>
      </w:r>
      <w:r w:rsidR="002B73AC" w:rsidRPr="00ED1358">
        <w:rPr>
          <w:rFonts w:ascii="Times New Roman" w:hAnsi="Times New Roman" w:cs="Times New Roman"/>
          <w:sz w:val="24"/>
        </w:rPr>
        <w:t xml:space="preserve">Dedania, Z. R., Dedania, R. R., Sheth, N. R., Patel, J. B., &amp; Patel, B. (2011). Stability Indicating HPLC Determination of Risperidone in Bulk Drug and Pharmaceutical Formulations. </w:t>
      </w:r>
      <w:r w:rsidR="002B73AC" w:rsidRPr="00ED1358">
        <w:rPr>
          <w:rFonts w:ascii="Times New Roman" w:hAnsi="Times New Roman" w:cs="Times New Roman"/>
          <w:i/>
          <w:iCs/>
          <w:sz w:val="24"/>
        </w:rPr>
        <w:t>International Journal of Analytical Chemistry</w:t>
      </w:r>
      <w:r w:rsidR="002B73AC" w:rsidRPr="00ED1358">
        <w:rPr>
          <w:rFonts w:ascii="Times New Roman" w:hAnsi="Times New Roman" w:cs="Times New Roman"/>
          <w:sz w:val="24"/>
        </w:rPr>
        <w:t xml:space="preserve">, </w:t>
      </w:r>
      <w:r w:rsidR="002B73AC" w:rsidRPr="00ED1358">
        <w:rPr>
          <w:rFonts w:ascii="Times New Roman" w:hAnsi="Times New Roman" w:cs="Times New Roman"/>
          <w:i/>
          <w:iCs/>
          <w:sz w:val="24"/>
        </w:rPr>
        <w:t>2011</w:t>
      </w:r>
      <w:r w:rsidR="002B73AC" w:rsidRPr="00ED1358">
        <w:rPr>
          <w:rFonts w:ascii="Times New Roman" w:hAnsi="Times New Roman" w:cs="Times New Roman"/>
          <w:sz w:val="24"/>
        </w:rPr>
        <w:t>, 1–6. https://doi.org/10.1155/2011/124917</w:t>
      </w:r>
    </w:p>
    <w:p w14:paraId="41F54436" w14:textId="4CA90EB5" w:rsidR="002B73AC" w:rsidRPr="00ED1358" w:rsidRDefault="00ED1358" w:rsidP="00ED1358">
      <w:pPr>
        <w:pStyle w:val="Bibliography"/>
        <w:spacing w:line="360" w:lineRule="auto"/>
        <w:jc w:val="both"/>
        <w:rPr>
          <w:rFonts w:ascii="Times New Roman" w:hAnsi="Times New Roman" w:cs="Times New Roman"/>
          <w:sz w:val="24"/>
        </w:rPr>
      </w:pPr>
      <w:r>
        <w:rPr>
          <w:rFonts w:ascii="Times New Roman" w:hAnsi="Times New Roman" w:cs="Times New Roman"/>
          <w:sz w:val="24"/>
        </w:rPr>
        <w:t xml:space="preserve">[3] </w:t>
      </w:r>
      <w:r w:rsidR="002B73AC" w:rsidRPr="00ED1358">
        <w:rPr>
          <w:rFonts w:ascii="Times New Roman" w:hAnsi="Times New Roman" w:cs="Times New Roman"/>
          <w:sz w:val="24"/>
        </w:rPr>
        <w:t xml:space="preserve">Elman, I. (2002). Effects of Risperidone on the Peripheral Noradrenegic System in Patients with Schizophrenia A Comparison with Clozapine and Placebo. </w:t>
      </w:r>
      <w:r w:rsidR="002B73AC" w:rsidRPr="00ED1358">
        <w:rPr>
          <w:rFonts w:ascii="Times New Roman" w:hAnsi="Times New Roman" w:cs="Times New Roman"/>
          <w:i/>
          <w:iCs/>
          <w:sz w:val="24"/>
        </w:rPr>
        <w:t>Neuropsychopharmacology</w:t>
      </w:r>
      <w:r w:rsidR="002B73AC" w:rsidRPr="00ED1358">
        <w:rPr>
          <w:rFonts w:ascii="Times New Roman" w:hAnsi="Times New Roman" w:cs="Times New Roman"/>
          <w:sz w:val="24"/>
        </w:rPr>
        <w:t xml:space="preserve">, </w:t>
      </w:r>
      <w:r w:rsidR="002B73AC" w:rsidRPr="00ED1358">
        <w:rPr>
          <w:rFonts w:ascii="Times New Roman" w:hAnsi="Times New Roman" w:cs="Times New Roman"/>
          <w:i/>
          <w:iCs/>
          <w:sz w:val="24"/>
        </w:rPr>
        <w:t>27</w:t>
      </w:r>
      <w:r w:rsidR="002B73AC" w:rsidRPr="00ED1358">
        <w:rPr>
          <w:rFonts w:ascii="Times New Roman" w:hAnsi="Times New Roman" w:cs="Times New Roman"/>
          <w:sz w:val="24"/>
        </w:rPr>
        <w:t>(2), 293–300. https://doi.org/10.1016/S0893-133X(02)00314-7</w:t>
      </w:r>
    </w:p>
    <w:p w14:paraId="7946B351" w14:textId="6A5C8BF6" w:rsidR="002B73AC" w:rsidRPr="00ED1358" w:rsidRDefault="00ED1358" w:rsidP="00ED1358">
      <w:pPr>
        <w:pStyle w:val="Bibliography"/>
        <w:spacing w:line="360" w:lineRule="auto"/>
        <w:jc w:val="both"/>
        <w:rPr>
          <w:rFonts w:ascii="Times New Roman" w:hAnsi="Times New Roman" w:cs="Times New Roman"/>
          <w:sz w:val="24"/>
        </w:rPr>
      </w:pPr>
      <w:r>
        <w:rPr>
          <w:rFonts w:ascii="Times New Roman" w:hAnsi="Times New Roman" w:cs="Times New Roman"/>
          <w:sz w:val="24"/>
        </w:rPr>
        <w:t xml:space="preserve">[4] </w:t>
      </w:r>
      <w:r w:rsidR="002B73AC" w:rsidRPr="00ED1358">
        <w:rPr>
          <w:rFonts w:ascii="Times New Roman" w:hAnsi="Times New Roman" w:cs="Times New Roman"/>
          <w:sz w:val="24"/>
        </w:rPr>
        <w:t xml:space="preserve">Jain, R., Singh, R., Sudhaker, S. (2017). Coupling Microextraction With Thin Layer Chromatography-Image Processing Analysis: A New Analytical Platform for Drug Analysis. </w:t>
      </w:r>
      <w:r w:rsidR="002B73AC" w:rsidRPr="00ED1358">
        <w:rPr>
          <w:rFonts w:ascii="Times New Roman" w:hAnsi="Times New Roman" w:cs="Times New Roman"/>
          <w:i/>
          <w:iCs/>
          <w:sz w:val="24"/>
        </w:rPr>
        <w:t>Toxicology and Forensic Medicine - Open Journal</w:t>
      </w:r>
      <w:r w:rsidR="002B73AC" w:rsidRPr="00ED1358">
        <w:rPr>
          <w:rFonts w:ascii="Times New Roman" w:hAnsi="Times New Roman" w:cs="Times New Roman"/>
          <w:sz w:val="24"/>
        </w:rPr>
        <w:t xml:space="preserve">, </w:t>
      </w:r>
      <w:r w:rsidR="002B73AC" w:rsidRPr="00ED1358">
        <w:rPr>
          <w:rFonts w:ascii="Times New Roman" w:hAnsi="Times New Roman" w:cs="Times New Roman"/>
          <w:i/>
          <w:iCs/>
          <w:sz w:val="24"/>
        </w:rPr>
        <w:t>2</w:t>
      </w:r>
      <w:r w:rsidR="002B73AC" w:rsidRPr="00ED1358">
        <w:rPr>
          <w:rFonts w:ascii="Times New Roman" w:hAnsi="Times New Roman" w:cs="Times New Roman"/>
          <w:sz w:val="24"/>
        </w:rPr>
        <w:t>(1), 17–25. https://doi.org/10.17140/TFMOJ-2-113</w:t>
      </w:r>
    </w:p>
    <w:p w14:paraId="285A1341" w14:textId="776EBE2C" w:rsidR="002B73AC" w:rsidRPr="00ED1358" w:rsidRDefault="00ED1358" w:rsidP="00ED1358">
      <w:pPr>
        <w:pStyle w:val="Bibliography"/>
        <w:spacing w:line="360" w:lineRule="auto"/>
        <w:jc w:val="both"/>
        <w:rPr>
          <w:rFonts w:ascii="Times New Roman" w:hAnsi="Times New Roman" w:cs="Times New Roman"/>
          <w:sz w:val="24"/>
        </w:rPr>
      </w:pPr>
      <w:r>
        <w:rPr>
          <w:rFonts w:ascii="Times New Roman" w:hAnsi="Times New Roman" w:cs="Times New Roman"/>
          <w:sz w:val="24"/>
        </w:rPr>
        <w:t xml:space="preserve">[5] </w:t>
      </w:r>
      <w:r w:rsidR="002B73AC" w:rsidRPr="00ED1358">
        <w:rPr>
          <w:rFonts w:ascii="Times New Roman" w:hAnsi="Times New Roman" w:cs="Times New Roman"/>
          <w:sz w:val="24"/>
        </w:rPr>
        <w:t xml:space="preserve">He, Y., &amp; Concheiro‐Guisan, M. (2019). Microextraction sample preparation techniques in forensic analytical toxicology. </w:t>
      </w:r>
      <w:r w:rsidR="002B73AC" w:rsidRPr="00ED1358">
        <w:rPr>
          <w:rFonts w:ascii="Times New Roman" w:hAnsi="Times New Roman" w:cs="Times New Roman"/>
          <w:i/>
          <w:iCs/>
          <w:sz w:val="24"/>
        </w:rPr>
        <w:t>Biomedical Chromatography</w:t>
      </w:r>
      <w:r w:rsidR="002B73AC" w:rsidRPr="00ED1358">
        <w:rPr>
          <w:rFonts w:ascii="Times New Roman" w:hAnsi="Times New Roman" w:cs="Times New Roman"/>
          <w:sz w:val="24"/>
        </w:rPr>
        <w:t xml:space="preserve">, </w:t>
      </w:r>
      <w:r w:rsidR="002B73AC" w:rsidRPr="00ED1358">
        <w:rPr>
          <w:rFonts w:ascii="Times New Roman" w:hAnsi="Times New Roman" w:cs="Times New Roman"/>
          <w:i/>
          <w:iCs/>
          <w:sz w:val="24"/>
        </w:rPr>
        <w:t>33</w:t>
      </w:r>
      <w:r w:rsidR="002B73AC" w:rsidRPr="00ED1358">
        <w:rPr>
          <w:rFonts w:ascii="Times New Roman" w:hAnsi="Times New Roman" w:cs="Times New Roman"/>
          <w:sz w:val="24"/>
        </w:rPr>
        <w:t>(1), e4444. https://doi.org/10.1002/bmc.4444</w:t>
      </w:r>
    </w:p>
    <w:p w14:paraId="22A15C96" w14:textId="1A2D8706" w:rsidR="002B73AC" w:rsidRPr="00ED1358" w:rsidRDefault="00ED1358" w:rsidP="00ED1358">
      <w:pPr>
        <w:pStyle w:val="Bibliography"/>
        <w:spacing w:line="360" w:lineRule="auto"/>
        <w:jc w:val="both"/>
        <w:rPr>
          <w:rFonts w:ascii="Times New Roman" w:hAnsi="Times New Roman" w:cs="Times New Roman"/>
          <w:sz w:val="24"/>
        </w:rPr>
      </w:pPr>
      <w:r>
        <w:rPr>
          <w:rFonts w:ascii="Times New Roman" w:hAnsi="Times New Roman" w:cs="Times New Roman"/>
          <w:sz w:val="24"/>
        </w:rPr>
        <w:t xml:space="preserve">[6] </w:t>
      </w:r>
      <w:r w:rsidR="002B73AC" w:rsidRPr="00ED1358">
        <w:rPr>
          <w:rFonts w:ascii="Times New Roman" w:hAnsi="Times New Roman" w:cs="Times New Roman"/>
          <w:sz w:val="24"/>
        </w:rPr>
        <w:t xml:space="preserve">Jain, R. (2018). Optimization of ultrasound-assisted emulsification microextraction by experimental design for determination of over-the-counter drugs by thin-layer chromatography–image-processing method. </w:t>
      </w:r>
      <w:r w:rsidR="002B73AC" w:rsidRPr="00ED1358">
        <w:rPr>
          <w:rFonts w:ascii="Times New Roman" w:hAnsi="Times New Roman" w:cs="Times New Roman"/>
          <w:i/>
          <w:iCs/>
          <w:sz w:val="24"/>
        </w:rPr>
        <w:t>JPC - Journal of Planar Chromatography - Modern TLC</w:t>
      </w:r>
      <w:r w:rsidR="002B73AC" w:rsidRPr="00ED1358">
        <w:rPr>
          <w:rFonts w:ascii="Times New Roman" w:hAnsi="Times New Roman" w:cs="Times New Roman"/>
          <w:sz w:val="24"/>
        </w:rPr>
        <w:t xml:space="preserve">, </w:t>
      </w:r>
      <w:r w:rsidR="002B73AC" w:rsidRPr="00ED1358">
        <w:rPr>
          <w:rFonts w:ascii="Times New Roman" w:hAnsi="Times New Roman" w:cs="Times New Roman"/>
          <w:i/>
          <w:iCs/>
          <w:sz w:val="24"/>
        </w:rPr>
        <w:t>31</w:t>
      </w:r>
      <w:r w:rsidR="002B73AC" w:rsidRPr="00ED1358">
        <w:rPr>
          <w:rFonts w:ascii="Times New Roman" w:hAnsi="Times New Roman" w:cs="Times New Roman"/>
          <w:sz w:val="24"/>
        </w:rPr>
        <w:t>(4), 265–271. https://doi.org/10.1556/1006.2018.31.4.1</w:t>
      </w:r>
    </w:p>
    <w:p w14:paraId="2369B445" w14:textId="161CCB2E" w:rsidR="002B73AC" w:rsidRPr="00ED1358" w:rsidRDefault="00ED1358" w:rsidP="00ED1358">
      <w:pPr>
        <w:pStyle w:val="Bibliography"/>
        <w:spacing w:line="360" w:lineRule="auto"/>
        <w:jc w:val="both"/>
        <w:rPr>
          <w:rFonts w:ascii="Times New Roman" w:hAnsi="Times New Roman" w:cs="Times New Roman"/>
          <w:sz w:val="24"/>
        </w:rPr>
      </w:pPr>
      <w:r>
        <w:rPr>
          <w:rFonts w:ascii="Times New Roman" w:hAnsi="Times New Roman" w:cs="Times New Roman"/>
          <w:sz w:val="24"/>
        </w:rPr>
        <w:t xml:space="preserve">[7] </w:t>
      </w:r>
      <w:r w:rsidR="002B73AC" w:rsidRPr="00ED1358">
        <w:rPr>
          <w:rFonts w:ascii="Times New Roman" w:hAnsi="Times New Roman" w:cs="Times New Roman"/>
          <w:sz w:val="24"/>
        </w:rPr>
        <w:t xml:space="preserve">Jain, R., Jha, R. R., Kumari, A., &amp; Khatri, I. (2021). Dispersive liquid-liquid microextraction combined with digital image colorimetry for paracetamol analysis. </w:t>
      </w:r>
      <w:r w:rsidR="002B73AC" w:rsidRPr="00ED1358">
        <w:rPr>
          <w:rFonts w:ascii="Times New Roman" w:hAnsi="Times New Roman" w:cs="Times New Roman"/>
          <w:i/>
          <w:iCs/>
          <w:sz w:val="24"/>
        </w:rPr>
        <w:t>Microchemical Journal</w:t>
      </w:r>
      <w:r w:rsidR="002B73AC" w:rsidRPr="00ED1358">
        <w:rPr>
          <w:rFonts w:ascii="Times New Roman" w:hAnsi="Times New Roman" w:cs="Times New Roman"/>
          <w:sz w:val="24"/>
        </w:rPr>
        <w:t xml:space="preserve">, </w:t>
      </w:r>
      <w:r w:rsidR="002B73AC" w:rsidRPr="00ED1358">
        <w:rPr>
          <w:rFonts w:ascii="Times New Roman" w:hAnsi="Times New Roman" w:cs="Times New Roman"/>
          <w:i/>
          <w:iCs/>
          <w:sz w:val="24"/>
        </w:rPr>
        <w:t>162</w:t>
      </w:r>
      <w:r w:rsidR="002B73AC" w:rsidRPr="00ED1358">
        <w:rPr>
          <w:rFonts w:ascii="Times New Roman" w:hAnsi="Times New Roman" w:cs="Times New Roman"/>
          <w:sz w:val="24"/>
        </w:rPr>
        <w:t>, 105870. https://doi.org/10.1016/j.microc.2020.105870</w:t>
      </w:r>
    </w:p>
    <w:p w14:paraId="29358360" w14:textId="2BAEDC30" w:rsidR="002B73AC" w:rsidRPr="00ED1358" w:rsidRDefault="00ED1358" w:rsidP="00ED1358">
      <w:pPr>
        <w:pStyle w:val="Bibliography"/>
        <w:spacing w:line="360" w:lineRule="auto"/>
        <w:jc w:val="both"/>
        <w:rPr>
          <w:rFonts w:ascii="Times New Roman" w:hAnsi="Times New Roman" w:cs="Times New Roman"/>
          <w:sz w:val="24"/>
        </w:rPr>
      </w:pPr>
      <w:r>
        <w:rPr>
          <w:rFonts w:ascii="Times New Roman" w:hAnsi="Times New Roman" w:cs="Times New Roman"/>
          <w:sz w:val="24"/>
        </w:rPr>
        <w:lastRenderedPageBreak/>
        <w:t xml:space="preserve">[8] </w:t>
      </w:r>
      <w:r w:rsidR="002B73AC" w:rsidRPr="00ED1358">
        <w:rPr>
          <w:rFonts w:ascii="Times New Roman" w:hAnsi="Times New Roman" w:cs="Times New Roman"/>
          <w:sz w:val="24"/>
        </w:rPr>
        <w:t xml:space="preserve">Jain, R., Tripathi, R. M., Negi, A., &amp; Singh, S. P. (2020). A simple, cost-effective and rapid method for simultaneous determination of Strychnos nux-vomica alkaloids in blood and Ayurvedic medicines based on ultrasound-assisted dispersive liquid–liquid microextraction–thin-layer chromatography-image analysis. </w:t>
      </w:r>
      <w:r w:rsidR="002B73AC" w:rsidRPr="00ED1358">
        <w:rPr>
          <w:rFonts w:ascii="Times New Roman" w:hAnsi="Times New Roman" w:cs="Times New Roman"/>
          <w:i/>
          <w:iCs/>
          <w:sz w:val="24"/>
        </w:rPr>
        <w:t>Journal of Chromatographic Science</w:t>
      </w:r>
      <w:r w:rsidR="002B73AC" w:rsidRPr="00ED1358">
        <w:rPr>
          <w:rFonts w:ascii="Times New Roman" w:hAnsi="Times New Roman" w:cs="Times New Roman"/>
          <w:sz w:val="24"/>
        </w:rPr>
        <w:t xml:space="preserve">, </w:t>
      </w:r>
      <w:r w:rsidR="002B73AC" w:rsidRPr="00ED1358">
        <w:rPr>
          <w:rFonts w:ascii="Times New Roman" w:hAnsi="Times New Roman" w:cs="Times New Roman"/>
          <w:i/>
          <w:iCs/>
          <w:sz w:val="24"/>
        </w:rPr>
        <w:t>58</w:t>
      </w:r>
      <w:r w:rsidR="002B73AC" w:rsidRPr="00ED1358">
        <w:rPr>
          <w:rFonts w:ascii="Times New Roman" w:hAnsi="Times New Roman" w:cs="Times New Roman"/>
          <w:sz w:val="24"/>
        </w:rPr>
        <w:t>(5), 477–484. https://doi.org/10.1093/chromsci/bmaa007</w:t>
      </w:r>
    </w:p>
    <w:p w14:paraId="04FDB838" w14:textId="64A4ECF6" w:rsidR="002B73AC" w:rsidRPr="00ED1358" w:rsidRDefault="00ED1358" w:rsidP="00ED1358">
      <w:pPr>
        <w:pStyle w:val="Bibliography"/>
        <w:spacing w:line="360" w:lineRule="auto"/>
        <w:jc w:val="both"/>
        <w:rPr>
          <w:rFonts w:ascii="Times New Roman" w:hAnsi="Times New Roman" w:cs="Times New Roman"/>
          <w:sz w:val="24"/>
        </w:rPr>
      </w:pPr>
      <w:r>
        <w:rPr>
          <w:rFonts w:ascii="Times New Roman" w:hAnsi="Times New Roman" w:cs="Times New Roman"/>
          <w:sz w:val="24"/>
        </w:rPr>
        <w:t xml:space="preserve">[9] </w:t>
      </w:r>
      <w:r w:rsidR="002B73AC" w:rsidRPr="00ED1358">
        <w:rPr>
          <w:rFonts w:ascii="Times New Roman" w:hAnsi="Times New Roman" w:cs="Times New Roman"/>
          <w:sz w:val="24"/>
        </w:rPr>
        <w:t xml:space="preserve">Ji, W.-H., Guo, Y.-S., Wang, X., &amp; Guo, D.-S. (2018). A water-compatible magnetic molecularly imprinted polymer for the selective extraction of risperidone and 9-hydroxyrisperidone from human urine. </w:t>
      </w:r>
      <w:r w:rsidR="002B73AC" w:rsidRPr="00ED1358">
        <w:rPr>
          <w:rFonts w:ascii="Times New Roman" w:hAnsi="Times New Roman" w:cs="Times New Roman"/>
          <w:i/>
          <w:iCs/>
          <w:sz w:val="24"/>
        </w:rPr>
        <w:t>Talanta</w:t>
      </w:r>
      <w:r w:rsidR="002B73AC" w:rsidRPr="00ED1358">
        <w:rPr>
          <w:rFonts w:ascii="Times New Roman" w:hAnsi="Times New Roman" w:cs="Times New Roman"/>
          <w:sz w:val="24"/>
        </w:rPr>
        <w:t xml:space="preserve">, </w:t>
      </w:r>
      <w:r w:rsidR="002B73AC" w:rsidRPr="00ED1358">
        <w:rPr>
          <w:rFonts w:ascii="Times New Roman" w:hAnsi="Times New Roman" w:cs="Times New Roman"/>
          <w:i/>
          <w:iCs/>
          <w:sz w:val="24"/>
        </w:rPr>
        <w:t>181</w:t>
      </w:r>
      <w:r w:rsidR="002B73AC" w:rsidRPr="00ED1358">
        <w:rPr>
          <w:rFonts w:ascii="Times New Roman" w:hAnsi="Times New Roman" w:cs="Times New Roman"/>
          <w:sz w:val="24"/>
        </w:rPr>
        <w:t>, 392–400. https://doi.org/10.1016/j.talanta.2018.01.025</w:t>
      </w:r>
    </w:p>
    <w:p w14:paraId="1490F49E" w14:textId="1373BCE4" w:rsidR="002B73AC" w:rsidRPr="00ED1358" w:rsidRDefault="00ED1358" w:rsidP="00ED1358">
      <w:pPr>
        <w:pStyle w:val="Bibliography"/>
        <w:spacing w:line="360" w:lineRule="auto"/>
        <w:jc w:val="both"/>
        <w:rPr>
          <w:rFonts w:ascii="Times New Roman" w:hAnsi="Times New Roman" w:cs="Times New Roman"/>
          <w:sz w:val="24"/>
        </w:rPr>
      </w:pPr>
      <w:r>
        <w:rPr>
          <w:rFonts w:ascii="Times New Roman" w:hAnsi="Times New Roman" w:cs="Times New Roman"/>
          <w:sz w:val="24"/>
        </w:rPr>
        <w:t xml:space="preserve">[10] </w:t>
      </w:r>
      <w:r w:rsidR="002B73AC" w:rsidRPr="00ED1358">
        <w:rPr>
          <w:rFonts w:ascii="Times New Roman" w:hAnsi="Times New Roman" w:cs="Times New Roman"/>
          <w:sz w:val="24"/>
        </w:rPr>
        <w:t xml:space="preserve">Mennickent, S., Diego, M. D., Liser, B., &amp; Trujillo, L. (2019). </w:t>
      </w:r>
      <w:r w:rsidR="0041438A" w:rsidRPr="00ED1358">
        <w:rPr>
          <w:rFonts w:ascii="Times New Roman" w:hAnsi="Times New Roman" w:cs="Times New Roman"/>
          <w:sz w:val="24"/>
        </w:rPr>
        <w:t>Simplified liquid-liquid extraction method coupled with lc/dad by quantitative determination of risperidone in human serum.</w:t>
      </w:r>
      <w:r w:rsidR="002B73AC" w:rsidRPr="00ED1358">
        <w:rPr>
          <w:rFonts w:ascii="Times New Roman" w:hAnsi="Times New Roman" w:cs="Times New Roman"/>
          <w:sz w:val="24"/>
        </w:rPr>
        <w:t xml:space="preserve"> </w:t>
      </w:r>
      <w:r w:rsidR="002B73AC" w:rsidRPr="00ED1358">
        <w:rPr>
          <w:rFonts w:ascii="Times New Roman" w:hAnsi="Times New Roman" w:cs="Times New Roman"/>
          <w:i/>
          <w:iCs/>
          <w:sz w:val="24"/>
        </w:rPr>
        <w:t>Journal of the Chilean Chemical Society</w:t>
      </w:r>
      <w:r w:rsidR="002B73AC" w:rsidRPr="00ED1358">
        <w:rPr>
          <w:rFonts w:ascii="Times New Roman" w:hAnsi="Times New Roman" w:cs="Times New Roman"/>
          <w:sz w:val="24"/>
        </w:rPr>
        <w:t xml:space="preserve">, </w:t>
      </w:r>
      <w:r w:rsidR="002B73AC" w:rsidRPr="00ED1358">
        <w:rPr>
          <w:rFonts w:ascii="Times New Roman" w:hAnsi="Times New Roman" w:cs="Times New Roman"/>
          <w:i/>
          <w:iCs/>
          <w:sz w:val="24"/>
        </w:rPr>
        <w:t>64</w:t>
      </w:r>
      <w:r w:rsidR="002B73AC" w:rsidRPr="00ED1358">
        <w:rPr>
          <w:rFonts w:ascii="Times New Roman" w:hAnsi="Times New Roman" w:cs="Times New Roman"/>
          <w:sz w:val="24"/>
        </w:rPr>
        <w:t>(1), 4265–4267. https://doi.org/10.4067/s0717-97072019000104265</w:t>
      </w:r>
    </w:p>
    <w:p w14:paraId="180514B0" w14:textId="0389B820" w:rsidR="002B73AC" w:rsidRPr="00ED1358" w:rsidRDefault="00ED1358" w:rsidP="00ED1358">
      <w:pPr>
        <w:pStyle w:val="Bibliography"/>
        <w:spacing w:line="360" w:lineRule="auto"/>
        <w:jc w:val="both"/>
        <w:rPr>
          <w:rFonts w:ascii="Times New Roman" w:hAnsi="Times New Roman" w:cs="Times New Roman"/>
          <w:sz w:val="24"/>
        </w:rPr>
      </w:pPr>
      <w:r>
        <w:rPr>
          <w:rFonts w:ascii="Times New Roman" w:hAnsi="Times New Roman" w:cs="Times New Roman"/>
          <w:sz w:val="24"/>
        </w:rPr>
        <w:t xml:space="preserve">[11] </w:t>
      </w:r>
      <w:r w:rsidR="002B73AC" w:rsidRPr="00ED1358">
        <w:rPr>
          <w:rFonts w:ascii="Times New Roman" w:hAnsi="Times New Roman" w:cs="Times New Roman"/>
          <w:sz w:val="24"/>
        </w:rPr>
        <w:t xml:space="preserve">Patel, R. B., Patel, B. G., Patel, M. R., &amp; Bhatt, K. K. (2010). HPTLc method development and validation for analysis of risperidone in formulations, and in-vitro release study. </w:t>
      </w:r>
      <w:r w:rsidR="002B73AC" w:rsidRPr="00ED1358">
        <w:rPr>
          <w:rFonts w:ascii="Times New Roman" w:hAnsi="Times New Roman" w:cs="Times New Roman"/>
          <w:i/>
          <w:iCs/>
          <w:sz w:val="24"/>
        </w:rPr>
        <w:t>Acta Chromatographica</w:t>
      </w:r>
      <w:r w:rsidR="002B73AC" w:rsidRPr="00ED1358">
        <w:rPr>
          <w:rFonts w:ascii="Times New Roman" w:hAnsi="Times New Roman" w:cs="Times New Roman"/>
          <w:sz w:val="24"/>
        </w:rPr>
        <w:t xml:space="preserve">, </w:t>
      </w:r>
      <w:r w:rsidR="002B73AC" w:rsidRPr="00ED1358">
        <w:rPr>
          <w:rFonts w:ascii="Times New Roman" w:hAnsi="Times New Roman" w:cs="Times New Roman"/>
          <w:i/>
          <w:iCs/>
          <w:sz w:val="24"/>
        </w:rPr>
        <w:t>22</w:t>
      </w:r>
      <w:r w:rsidR="002B73AC" w:rsidRPr="00ED1358">
        <w:rPr>
          <w:rFonts w:ascii="Times New Roman" w:hAnsi="Times New Roman" w:cs="Times New Roman"/>
          <w:sz w:val="24"/>
        </w:rPr>
        <w:t>(4), 549–567. https://doi.org/10.1556/AChrom.22.2010.4.5</w:t>
      </w:r>
    </w:p>
    <w:p w14:paraId="15F75BC3" w14:textId="3750C655" w:rsidR="002B73AC" w:rsidRPr="00ED1358" w:rsidRDefault="00ED1358" w:rsidP="00ED1358">
      <w:pPr>
        <w:pStyle w:val="Bibliography"/>
        <w:spacing w:line="360" w:lineRule="auto"/>
        <w:jc w:val="both"/>
        <w:rPr>
          <w:rFonts w:ascii="Times New Roman" w:hAnsi="Times New Roman" w:cs="Times New Roman"/>
          <w:sz w:val="24"/>
        </w:rPr>
      </w:pPr>
      <w:r>
        <w:rPr>
          <w:rFonts w:ascii="Times New Roman" w:hAnsi="Times New Roman" w:cs="Times New Roman"/>
          <w:sz w:val="24"/>
        </w:rPr>
        <w:t xml:space="preserve">[12] </w:t>
      </w:r>
      <w:r w:rsidR="002B73AC" w:rsidRPr="00ED1358">
        <w:rPr>
          <w:rFonts w:ascii="Times New Roman" w:hAnsi="Times New Roman" w:cs="Times New Roman"/>
          <w:sz w:val="24"/>
        </w:rPr>
        <w:t xml:space="preserve">Siva Selva Kumar, M., &amp; Ramanathan, M. (2016). Concurrent determination of olanzapine, risperidone and 9‐hydroxyrisperidone in human plasma by ultra performance liquid chromatography with diode array detection method: Application to pharmacokinetic study. </w:t>
      </w:r>
      <w:r w:rsidR="002B73AC" w:rsidRPr="00ED1358">
        <w:rPr>
          <w:rFonts w:ascii="Times New Roman" w:hAnsi="Times New Roman" w:cs="Times New Roman"/>
          <w:i/>
          <w:iCs/>
          <w:sz w:val="24"/>
        </w:rPr>
        <w:t>Biomedical Chromatography</w:t>
      </w:r>
      <w:r w:rsidR="002B73AC" w:rsidRPr="00ED1358">
        <w:rPr>
          <w:rFonts w:ascii="Times New Roman" w:hAnsi="Times New Roman" w:cs="Times New Roman"/>
          <w:sz w:val="24"/>
        </w:rPr>
        <w:t xml:space="preserve">, </w:t>
      </w:r>
      <w:r w:rsidR="002B73AC" w:rsidRPr="00ED1358">
        <w:rPr>
          <w:rFonts w:ascii="Times New Roman" w:hAnsi="Times New Roman" w:cs="Times New Roman"/>
          <w:i/>
          <w:iCs/>
          <w:sz w:val="24"/>
        </w:rPr>
        <w:t>30</w:t>
      </w:r>
      <w:r w:rsidR="002B73AC" w:rsidRPr="00ED1358">
        <w:rPr>
          <w:rFonts w:ascii="Times New Roman" w:hAnsi="Times New Roman" w:cs="Times New Roman"/>
          <w:sz w:val="24"/>
        </w:rPr>
        <w:t>(2), 263–268. https://doi.org/10.1002/bmc.3545</w:t>
      </w:r>
      <w:r w:rsidR="0005075E">
        <w:rPr>
          <w:rFonts w:ascii="Times New Roman" w:hAnsi="Times New Roman" w:cs="Times New Roman"/>
          <w:sz w:val="24"/>
        </w:rPr>
        <w:t xml:space="preserve"> </w:t>
      </w:r>
    </w:p>
    <w:p w14:paraId="4D8807AE" w14:textId="5EA0D61C" w:rsidR="002B73AC" w:rsidRPr="00ED1358" w:rsidRDefault="00ED1358" w:rsidP="00ED1358">
      <w:pPr>
        <w:pStyle w:val="Bibliography"/>
        <w:spacing w:line="360" w:lineRule="auto"/>
        <w:jc w:val="both"/>
        <w:rPr>
          <w:rFonts w:ascii="Times New Roman" w:hAnsi="Times New Roman" w:cs="Times New Roman"/>
          <w:sz w:val="24"/>
        </w:rPr>
      </w:pPr>
      <w:r>
        <w:rPr>
          <w:rFonts w:ascii="Times New Roman" w:hAnsi="Times New Roman" w:cs="Times New Roman"/>
          <w:sz w:val="24"/>
        </w:rPr>
        <w:t xml:space="preserve">[13] </w:t>
      </w:r>
      <w:r w:rsidR="002B73AC" w:rsidRPr="00ED1358">
        <w:rPr>
          <w:rFonts w:ascii="Times New Roman" w:hAnsi="Times New Roman" w:cs="Times New Roman"/>
          <w:sz w:val="24"/>
        </w:rPr>
        <w:t xml:space="preserve">Yousefsani, B. S., Salimi, A., Imani, F., Ramezani, M., Shirani, K., Seydi, E., &amp; Pourahmad, J. (2022). Risperidone Toxicity on Human Blood Lymphocytes in Nano molar Concentrations. </w:t>
      </w:r>
      <w:r w:rsidR="002B73AC" w:rsidRPr="00ED1358">
        <w:rPr>
          <w:rFonts w:ascii="Times New Roman" w:hAnsi="Times New Roman" w:cs="Times New Roman"/>
          <w:i/>
          <w:iCs/>
          <w:sz w:val="24"/>
        </w:rPr>
        <w:t>Drug Research</w:t>
      </w:r>
      <w:r w:rsidR="002B73AC" w:rsidRPr="00ED1358">
        <w:rPr>
          <w:rFonts w:ascii="Times New Roman" w:hAnsi="Times New Roman" w:cs="Times New Roman"/>
          <w:sz w:val="24"/>
        </w:rPr>
        <w:t xml:space="preserve">, </w:t>
      </w:r>
      <w:r w:rsidR="002B73AC" w:rsidRPr="00ED1358">
        <w:rPr>
          <w:rFonts w:ascii="Times New Roman" w:hAnsi="Times New Roman" w:cs="Times New Roman"/>
          <w:i/>
          <w:iCs/>
          <w:sz w:val="24"/>
        </w:rPr>
        <w:t>72</w:t>
      </w:r>
      <w:r w:rsidR="002B73AC" w:rsidRPr="00ED1358">
        <w:rPr>
          <w:rFonts w:ascii="Times New Roman" w:hAnsi="Times New Roman" w:cs="Times New Roman"/>
          <w:sz w:val="24"/>
        </w:rPr>
        <w:t>(06), 343–349. https://doi.org/10.1055/a-1830-8701</w:t>
      </w:r>
    </w:p>
    <w:p w14:paraId="769B6EC1" w14:textId="3CDEF59F" w:rsidR="002B73AC" w:rsidRPr="00ED1358" w:rsidRDefault="00ED1358" w:rsidP="00ED1358">
      <w:pPr>
        <w:pStyle w:val="Bibliography"/>
        <w:spacing w:line="360" w:lineRule="auto"/>
        <w:jc w:val="both"/>
        <w:rPr>
          <w:rFonts w:ascii="Times New Roman" w:hAnsi="Times New Roman" w:cs="Times New Roman"/>
          <w:sz w:val="24"/>
        </w:rPr>
      </w:pPr>
      <w:r>
        <w:rPr>
          <w:rFonts w:ascii="Times New Roman" w:hAnsi="Times New Roman" w:cs="Times New Roman"/>
          <w:sz w:val="24"/>
        </w:rPr>
        <w:t xml:space="preserve">[14] </w:t>
      </w:r>
      <w:r w:rsidR="002B73AC" w:rsidRPr="00ED1358">
        <w:rPr>
          <w:rFonts w:ascii="Times New Roman" w:hAnsi="Times New Roman" w:cs="Times New Roman"/>
          <w:sz w:val="24"/>
        </w:rPr>
        <w:t xml:space="preserve">Yu, X., Li, X., You, S., Shi, Y., Zhu, R., Dong, Y., &amp; Huang, C. (2020). Electromembrane extraction of chlorprothixene, haloperidol and risperidone from whole blood and urine. </w:t>
      </w:r>
      <w:r w:rsidR="002B73AC" w:rsidRPr="00ED1358">
        <w:rPr>
          <w:rFonts w:ascii="Times New Roman" w:hAnsi="Times New Roman" w:cs="Times New Roman"/>
          <w:i/>
          <w:iCs/>
          <w:sz w:val="24"/>
        </w:rPr>
        <w:t>Journal of Chromatography A</w:t>
      </w:r>
      <w:r w:rsidR="002B73AC" w:rsidRPr="00ED1358">
        <w:rPr>
          <w:rFonts w:ascii="Times New Roman" w:hAnsi="Times New Roman" w:cs="Times New Roman"/>
          <w:sz w:val="24"/>
        </w:rPr>
        <w:t xml:space="preserve">, </w:t>
      </w:r>
      <w:r w:rsidR="002B73AC" w:rsidRPr="00ED1358">
        <w:rPr>
          <w:rFonts w:ascii="Times New Roman" w:hAnsi="Times New Roman" w:cs="Times New Roman"/>
          <w:i/>
          <w:iCs/>
          <w:sz w:val="24"/>
        </w:rPr>
        <w:t>1629</w:t>
      </w:r>
      <w:r w:rsidR="002B73AC" w:rsidRPr="00ED1358">
        <w:rPr>
          <w:rFonts w:ascii="Times New Roman" w:hAnsi="Times New Roman" w:cs="Times New Roman"/>
          <w:sz w:val="24"/>
        </w:rPr>
        <w:t>, 461480. https://doi.org/10.1016/j.chroma.2020.461480</w:t>
      </w:r>
    </w:p>
    <w:p w14:paraId="72B9DE75" w14:textId="1AD7D8B6" w:rsidR="0074101C" w:rsidRDefault="00516938" w:rsidP="0074101C">
      <w:pPr>
        <w:spacing w:line="360" w:lineRule="auto"/>
        <w:jc w:val="both"/>
        <w:rPr>
          <w:rFonts w:ascii="Times New Roman" w:hAnsi="Times New Roman" w:cs="Times New Roman"/>
          <w:bCs/>
          <w:sz w:val="24"/>
          <w:szCs w:val="24"/>
        </w:rPr>
      </w:pPr>
      <w:r w:rsidRPr="00ED1358">
        <w:rPr>
          <w:rFonts w:ascii="Times New Roman" w:hAnsi="Times New Roman" w:cs="Times New Roman"/>
          <w:bCs/>
          <w:sz w:val="24"/>
          <w:szCs w:val="24"/>
        </w:rPr>
        <w:fldChar w:fldCharType="end"/>
      </w:r>
      <w:r w:rsidR="00ED1358">
        <w:rPr>
          <w:rFonts w:ascii="Times New Roman" w:hAnsi="Times New Roman" w:cs="Times New Roman"/>
          <w:bCs/>
          <w:sz w:val="24"/>
          <w:szCs w:val="24"/>
        </w:rPr>
        <w:t xml:space="preserve">[15] </w:t>
      </w:r>
      <w:r w:rsidR="007D4E03" w:rsidRPr="00ED1358">
        <w:rPr>
          <w:rFonts w:ascii="Times New Roman" w:hAnsi="Times New Roman" w:cs="Times New Roman"/>
          <w:bCs/>
          <w:sz w:val="24"/>
          <w:szCs w:val="24"/>
        </w:rPr>
        <w:t>Akash, M.S.H. and Rehman, K., 2025. Comprehensive insights into thin layer chromatography. In </w:t>
      </w:r>
      <w:r w:rsidR="007D4E03" w:rsidRPr="00ED1358">
        <w:rPr>
          <w:rFonts w:ascii="Times New Roman" w:hAnsi="Times New Roman" w:cs="Times New Roman"/>
          <w:bCs/>
          <w:i/>
          <w:iCs/>
          <w:sz w:val="24"/>
          <w:szCs w:val="24"/>
        </w:rPr>
        <w:t>Essentials of Pharmaceutical Analysis</w:t>
      </w:r>
      <w:r w:rsidR="007D4E03" w:rsidRPr="00ED1358">
        <w:rPr>
          <w:rFonts w:ascii="Times New Roman" w:hAnsi="Times New Roman" w:cs="Times New Roman"/>
          <w:bCs/>
          <w:sz w:val="24"/>
          <w:szCs w:val="24"/>
        </w:rPr>
        <w:t> (pp. 577-619). Singapore: Springer Nature Singapore.</w:t>
      </w:r>
    </w:p>
    <w:p w14:paraId="1989CFC7" w14:textId="013BEB2D" w:rsidR="0098500B" w:rsidRPr="00ED1358" w:rsidRDefault="0074101C" w:rsidP="0074101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[16] </w:t>
      </w:r>
      <w:r w:rsidR="007D4E03" w:rsidRPr="00ED1358">
        <w:rPr>
          <w:rFonts w:ascii="Times New Roman" w:hAnsi="Times New Roman" w:cs="Times New Roman"/>
          <w:bCs/>
          <w:sz w:val="24"/>
          <w:szCs w:val="24"/>
        </w:rPr>
        <w:t>Siegel, J.A. ed., 2015. </w:t>
      </w:r>
      <w:r w:rsidR="007D4E03" w:rsidRPr="00ED1358">
        <w:rPr>
          <w:rFonts w:ascii="Times New Roman" w:hAnsi="Times New Roman" w:cs="Times New Roman"/>
          <w:bCs/>
          <w:i/>
          <w:iCs/>
          <w:sz w:val="24"/>
          <w:szCs w:val="24"/>
        </w:rPr>
        <w:t>Forensic chemistry: fundamentals and applications</w:t>
      </w:r>
      <w:r w:rsidR="007D4E03" w:rsidRPr="00ED1358">
        <w:rPr>
          <w:rFonts w:ascii="Times New Roman" w:hAnsi="Times New Roman" w:cs="Times New Roman"/>
          <w:bCs/>
          <w:sz w:val="24"/>
          <w:szCs w:val="24"/>
        </w:rPr>
        <w:t>. John Wiley &amp; Sons.</w:t>
      </w:r>
    </w:p>
    <w:p w14:paraId="60D7ADD9" w14:textId="6B619D2E" w:rsidR="00B75E5E" w:rsidRDefault="00ED1358" w:rsidP="0074101C">
      <w:pPr>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[1</w:t>
      </w:r>
      <w:r w:rsidR="0074101C">
        <w:rPr>
          <w:rFonts w:ascii="Times New Roman" w:hAnsi="Times New Roman" w:cs="Times New Roman"/>
          <w:color w:val="222222"/>
          <w:sz w:val="24"/>
          <w:szCs w:val="24"/>
          <w:shd w:val="clear" w:color="auto" w:fill="FFFFFF"/>
        </w:rPr>
        <w:t>7</w:t>
      </w:r>
      <w:r>
        <w:rPr>
          <w:rFonts w:ascii="Times New Roman" w:hAnsi="Times New Roman" w:cs="Times New Roman"/>
          <w:color w:val="222222"/>
          <w:sz w:val="24"/>
          <w:szCs w:val="24"/>
          <w:shd w:val="clear" w:color="auto" w:fill="FFFFFF"/>
        </w:rPr>
        <w:t xml:space="preserve">] </w:t>
      </w:r>
      <w:r w:rsidR="003A341E" w:rsidRPr="00ED1358">
        <w:rPr>
          <w:rFonts w:ascii="Times New Roman" w:hAnsi="Times New Roman" w:cs="Times New Roman"/>
          <w:color w:val="222222"/>
          <w:sz w:val="24"/>
          <w:szCs w:val="24"/>
          <w:shd w:val="clear" w:color="auto" w:fill="FFFFFF"/>
        </w:rPr>
        <w:t>Maślanka, A., Krzek, J., &amp; Patrzałek, A. (2009). Determination of risperidone in tablets in the presence of its degradation products and placebo-derived constituents. </w:t>
      </w:r>
      <w:r w:rsidR="003A341E" w:rsidRPr="00ED1358">
        <w:rPr>
          <w:rFonts w:ascii="Times New Roman" w:hAnsi="Times New Roman" w:cs="Times New Roman"/>
          <w:i/>
          <w:iCs/>
          <w:color w:val="222222"/>
          <w:sz w:val="24"/>
          <w:szCs w:val="24"/>
          <w:shd w:val="clear" w:color="auto" w:fill="FFFFFF"/>
        </w:rPr>
        <w:t xml:space="preserve">Acta </w:t>
      </w:r>
      <w:proofErr w:type="spellStart"/>
      <w:r w:rsidR="003A341E" w:rsidRPr="00ED1358">
        <w:rPr>
          <w:rFonts w:ascii="Times New Roman" w:hAnsi="Times New Roman" w:cs="Times New Roman"/>
          <w:i/>
          <w:iCs/>
          <w:color w:val="222222"/>
          <w:sz w:val="24"/>
          <w:szCs w:val="24"/>
          <w:shd w:val="clear" w:color="auto" w:fill="FFFFFF"/>
        </w:rPr>
        <w:t>Poloniae</w:t>
      </w:r>
      <w:proofErr w:type="spellEnd"/>
      <w:r w:rsidR="003A341E" w:rsidRPr="00ED1358">
        <w:rPr>
          <w:rFonts w:ascii="Times New Roman" w:hAnsi="Times New Roman" w:cs="Times New Roman"/>
          <w:i/>
          <w:iCs/>
          <w:color w:val="222222"/>
          <w:sz w:val="24"/>
          <w:szCs w:val="24"/>
          <w:shd w:val="clear" w:color="auto" w:fill="FFFFFF"/>
        </w:rPr>
        <w:t xml:space="preserve"> Pharmaceutica</w:t>
      </w:r>
      <w:r w:rsidR="003A341E" w:rsidRPr="00ED1358">
        <w:rPr>
          <w:rFonts w:ascii="Times New Roman" w:hAnsi="Times New Roman" w:cs="Times New Roman"/>
          <w:color w:val="222222"/>
          <w:sz w:val="24"/>
          <w:szCs w:val="24"/>
          <w:shd w:val="clear" w:color="auto" w:fill="FFFFFF"/>
        </w:rPr>
        <w:t>, </w:t>
      </w:r>
      <w:r w:rsidR="003A341E" w:rsidRPr="00ED1358">
        <w:rPr>
          <w:rFonts w:ascii="Times New Roman" w:hAnsi="Times New Roman" w:cs="Times New Roman"/>
          <w:i/>
          <w:iCs/>
          <w:color w:val="222222"/>
          <w:sz w:val="24"/>
          <w:szCs w:val="24"/>
          <w:shd w:val="clear" w:color="auto" w:fill="FFFFFF"/>
        </w:rPr>
        <w:t>66</w:t>
      </w:r>
      <w:r w:rsidR="003A341E" w:rsidRPr="00ED1358">
        <w:rPr>
          <w:rFonts w:ascii="Times New Roman" w:hAnsi="Times New Roman" w:cs="Times New Roman"/>
          <w:color w:val="222222"/>
          <w:sz w:val="24"/>
          <w:szCs w:val="24"/>
          <w:shd w:val="clear" w:color="auto" w:fill="FFFFFF"/>
        </w:rPr>
        <w:t>(5), 461-470.</w:t>
      </w:r>
    </w:p>
    <w:p w14:paraId="0CAAF324" w14:textId="5303459B" w:rsidR="00E1658C" w:rsidRDefault="00E1658C" w:rsidP="0074101C">
      <w:pPr>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[18] </w:t>
      </w:r>
      <w:proofErr w:type="spellStart"/>
      <w:r w:rsidRPr="00E1658C">
        <w:rPr>
          <w:rFonts w:ascii="Times New Roman" w:hAnsi="Times New Roman" w:cs="Times New Roman"/>
          <w:color w:val="222222"/>
          <w:sz w:val="24"/>
          <w:szCs w:val="24"/>
          <w:shd w:val="clear" w:color="auto" w:fill="FFFFFF"/>
        </w:rPr>
        <w:t>Płotka-Wasylka</w:t>
      </w:r>
      <w:proofErr w:type="spellEnd"/>
      <w:r w:rsidRPr="00E1658C">
        <w:rPr>
          <w:rFonts w:ascii="Times New Roman" w:hAnsi="Times New Roman" w:cs="Times New Roman"/>
          <w:color w:val="222222"/>
          <w:sz w:val="24"/>
          <w:szCs w:val="24"/>
          <w:shd w:val="clear" w:color="auto" w:fill="FFFFFF"/>
        </w:rPr>
        <w:t>, J. (2018). A new tool for the evaluation of the analytical procedure: Green Analytical Procedure Index. </w:t>
      </w:r>
      <w:proofErr w:type="spellStart"/>
      <w:r w:rsidRPr="00E1658C">
        <w:rPr>
          <w:rFonts w:ascii="Times New Roman" w:hAnsi="Times New Roman" w:cs="Times New Roman"/>
          <w:i/>
          <w:iCs/>
          <w:color w:val="222222"/>
          <w:sz w:val="24"/>
          <w:szCs w:val="24"/>
          <w:shd w:val="clear" w:color="auto" w:fill="FFFFFF"/>
        </w:rPr>
        <w:t>Talanta</w:t>
      </w:r>
      <w:proofErr w:type="spellEnd"/>
      <w:r w:rsidRPr="00E1658C">
        <w:rPr>
          <w:rFonts w:ascii="Times New Roman" w:hAnsi="Times New Roman" w:cs="Times New Roman"/>
          <w:color w:val="222222"/>
          <w:sz w:val="24"/>
          <w:szCs w:val="24"/>
          <w:shd w:val="clear" w:color="auto" w:fill="FFFFFF"/>
        </w:rPr>
        <w:t>, </w:t>
      </w:r>
      <w:r w:rsidRPr="00E1658C">
        <w:rPr>
          <w:rFonts w:ascii="Times New Roman" w:hAnsi="Times New Roman" w:cs="Times New Roman"/>
          <w:i/>
          <w:iCs/>
          <w:color w:val="222222"/>
          <w:sz w:val="24"/>
          <w:szCs w:val="24"/>
          <w:shd w:val="clear" w:color="auto" w:fill="FFFFFF"/>
        </w:rPr>
        <w:t>181</w:t>
      </w:r>
      <w:r w:rsidRPr="00E1658C">
        <w:rPr>
          <w:rFonts w:ascii="Times New Roman" w:hAnsi="Times New Roman" w:cs="Times New Roman"/>
          <w:color w:val="222222"/>
          <w:sz w:val="24"/>
          <w:szCs w:val="24"/>
          <w:shd w:val="clear" w:color="auto" w:fill="FFFFFF"/>
        </w:rPr>
        <w:t>, 204-209.</w:t>
      </w:r>
      <w:r w:rsidR="00D32834">
        <w:rPr>
          <w:rFonts w:ascii="Times New Roman" w:hAnsi="Times New Roman" w:cs="Times New Roman"/>
          <w:color w:val="222222"/>
          <w:sz w:val="24"/>
          <w:szCs w:val="24"/>
          <w:shd w:val="clear" w:color="auto" w:fill="FFFFFF"/>
        </w:rPr>
        <w:t xml:space="preserve"> </w:t>
      </w:r>
      <w:hyperlink r:id="rId44" w:history="1">
        <w:r w:rsidR="00D32834" w:rsidRPr="002C6BA0">
          <w:rPr>
            <w:rStyle w:val="Hyperlink"/>
            <w:rFonts w:ascii="Times New Roman" w:hAnsi="Times New Roman" w:cs="Times New Roman"/>
            <w:sz w:val="24"/>
            <w:szCs w:val="24"/>
            <w:shd w:val="clear" w:color="auto" w:fill="FFFFFF"/>
          </w:rPr>
          <w:t>https://doi.org/10.1016/j.talanta.2018.01.013</w:t>
        </w:r>
      </w:hyperlink>
      <w:r w:rsidR="00D32834">
        <w:rPr>
          <w:rFonts w:ascii="Times New Roman" w:hAnsi="Times New Roman" w:cs="Times New Roman"/>
          <w:color w:val="222222"/>
          <w:sz w:val="24"/>
          <w:szCs w:val="24"/>
          <w:shd w:val="clear" w:color="auto" w:fill="FFFFFF"/>
        </w:rPr>
        <w:t xml:space="preserve"> </w:t>
      </w:r>
    </w:p>
    <w:p w14:paraId="42CFB07D" w14:textId="69B4FF37" w:rsidR="00E1658C" w:rsidRDefault="00E1658C" w:rsidP="0074101C">
      <w:pPr>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[19]</w:t>
      </w:r>
      <w:r w:rsidR="00EE3C13">
        <w:rPr>
          <w:rFonts w:ascii="Times New Roman" w:hAnsi="Times New Roman" w:cs="Times New Roman"/>
          <w:color w:val="222222"/>
          <w:sz w:val="24"/>
          <w:szCs w:val="24"/>
          <w:shd w:val="clear" w:color="auto" w:fill="FFFFFF"/>
        </w:rPr>
        <w:t xml:space="preserve"> </w:t>
      </w:r>
      <w:r w:rsidR="00EE3C13" w:rsidRPr="00EE3C13">
        <w:rPr>
          <w:rFonts w:ascii="Times New Roman" w:hAnsi="Times New Roman" w:cs="Times New Roman"/>
          <w:color w:val="222222"/>
          <w:sz w:val="24"/>
          <w:szCs w:val="24"/>
          <w:shd w:val="clear" w:color="auto" w:fill="FFFFFF"/>
        </w:rPr>
        <w:t xml:space="preserve">Pena-Pereira, F., Wojnowski, W., &amp; </w:t>
      </w:r>
      <w:proofErr w:type="spellStart"/>
      <w:r w:rsidR="00EE3C13" w:rsidRPr="00EE3C13">
        <w:rPr>
          <w:rFonts w:ascii="Times New Roman" w:hAnsi="Times New Roman" w:cs="Times New Roman"/>
          <w:color w:val="222222"/>
          <w:sz w:val="24"/>
          <w:szCs w:val="24"/>
          <w:shd w:val="clear" w:color="auto" w:fill="FFFFFF"/>
        </w:rPr>
        <w:t>Tobiszewski</w:t>
      </w:r>
      <w:proofErr w:type="spellEnd"/>
      <w:r w:rsidR="00EE3C13" w:rsidRPr="00EE3C13">
        <w:rPr>
          <w:rFonts w:ascii="Times New Roman" w:hAnsi="Times New Roman" w:cs="Times New Roman"/>
          <w:color w:val="222222"/>
          <w:sz w:val="24"/>
          <w:szCs w:val="24"/>
          <w:shd w:val="clear" w:color="auto" w:fill="FFFFFF"/>
        </w:rPr>
        <w:t xml:space="preserve">, M. (2020). AGREE—Analytical </w:t>
      </w:r>
      <w:proofErr w:type="spellStart"/>
      <w:r w:rsidR="00EE3C13" w:rsidRPr="00EE3C13">
        <w:rPr>
          <w:rFonts w:ascii="Times New Roman" w:hAnsi="Times New Roman" w:cs="Times New Roman"/>
          <w:color w:val="222222"/>
          <w:sz w:val="24"/>
          <w:szCs w:val="24"/>
          <w:shd w:val="clear" w:color="auto" w:fill="FFFFFF"/>
        </w:rPr>
        <w:t>GREEnness</w:t>
      </w:r>
      <w:proofErr w:type="spellEnd"/>
      <w:r w:rsidR="00EE3C13" w:rsidRPr="00EE3C13">
        <w:rPr>
          <w:rFonts w:ascii="Times New Roman" w:hAnsi="Times New Roman" w:cs="Times New Roman"/>
          <w:color w:val="222222"/>
          <w:sz w:val="24"/>
          <w:szCs w:val="24"/>
          <w:shd w:val="clear" w:color="auto" w:fill="FFFFFF"/>
        </w:rPr>
        <w:t xml:space="preserve"> metric approach and software. </w:t>
      </w:r>
      <w:r w:rsidR="00EE3C13" w:rsidRPr="00EE3C13">
        <w:rPr>
          <w:rFonts w:ascii="Times New Roman" w:hAnsi="Times New Roman" w:cs="Times New Roman"/>
          <w:i/>
          <w:iCs/>
          <w:color w:val="222222"/>
          <w:sz w:val="24"/>
          <w:szCs w:val="24"/>
          <w:shd w:val="clear" w:color="auto" w:fill="FFFFFF"/>
        </w:rPr>
        <w:t>Analytical chemistry</w:t>
      </w:r>
      <w:r w:rsidR="00EE3C13" w:rsidRPr="00EE3C13">
        <w:rPr>
          <w:rFonts w:ascii="Times New Roman" w:hAnsi="Times New Roman" w:cs="Times New Roman"/>
          <w:color w:val="222222"/>
          <w:sz w:val="24"/>
          <w:szCs w:val="24"/>
          <w:shd w:val="clear" w:color="auto" w:fill="FFFFFF"/>
        </w:rPr>
        <w:t>, </w:t>
      </w:r>
      <w:r w:rsidR="00EE3C13" w:rsidRPr="00EE3C13">
        <w:rPr>
          <w:rFonts w:ascii="Times New Roman" w:hAnsi="Times New Roman" w:cs="Times New Roman"/>
          <w:i/>
          <w:iCs/>
          <w:color w:val="222222"/>
          <w:sz w:val="24"/>
          <w:szCs w:val="24"/>
          <w:shd w:val="clear" w:color="auto" w:fill="FFFFFF"/>
        </w:rPr>
        <w:t>92</w:t>
      </w:r>
      <w:r w:rsidR="00EE3C13" w:rsidRPr="00EE3C13">
        <w:rPr>
          <w:rFonts w:ascii="Times New Roman" w:hAnsi="Times New Roman" w:cs="Times New Roman"/>
          <w:color w:val="222222"/>
          <w:sz w:val="24"/>
          <w:szCs w:val="24"/>
          <w:shd w:val="clear" w:color="auto" w:fill="FFFFFF"/>
        </w:rPr>
        <w:t>(14), 10076-10082.</w:t>
      </w:r>
      <w:r w:rsidR="00D32834">
        <w:rPr>
          <w:rFonts w:ascii="Times New Roman" w:hAnsi="Times New Roman" w:cs="Times New Roman"/>
          <w:color w:val="222222"/>
          <w:sz w:val="24"/>
          <w:szCs w:val="24"/>
          <w:shd w:val="clear" w:color="auto" w:fill="FFFFFF"/>
        </w:rPr>
        <w:t xml:space="preserve"> </w:t>
      </w:r>
      <w:hyperlink r:id="rId45" w:history="1">
        <w:r w:rsidR="00D32834" w:rsidRPr="002C6BA0">
          <w:rPr>
            <w:rStyle w:val="Hyperlink"/>
            <w:rFonts w:ascii="Times New Roman" w:hAnsi="Times New Roman" w:cs="Times New Roman"/>
            <w:sz w:val="24"/>
            <w:szCs w:val="24"/>
            <w:shd w:val="clear" w:color="auto" w:fill="FFFFFF"/>
          </w:rPr>
          <w:t>https://doi.org/10.1021/acs.analchem.0c01887</w:t>
        </w:r>
      </w:hyperlink>
      <w:r w:rsidR="00D32834">
        <w:rPr>
          <w:rFonts w:ascii="Times New Roman" w:hAnsi="Times New Roman" w:cs="Times New Roman"/>
          <w:color w:val="222222"/>
          <w:sz w:val="24"/>
          <w:szCs w:val="24"/>
          <w:shd w:val="clear" w:color="auto" w:fill="FFFFFF"/>
        </w:rPr>
        <w:t xml:space="preserve">  </w:t>
      </w:r>
    </w:p>
    <w:p w14:paraId="5EAE7F4A" w14:textId="0EB4BCCD" w:rsidR="00E1658C" w:rsidRDefault="00E1658C" w:rsidP="0074101C">
      <w:pPr>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[20]</w:t>
      </w:r>
      <w:r w:rsidR="00EE3C13">
        <w:rPr>
          <w:rFonts w:ascii="Times New Roman" w:hAnsi="Times New Roman" w:cs="Times New Roman"/>
          <w:color w:val="222222"/>
          <w:sz w:val="24"/>
          <w:szCs w:val="24"/>
          <w:shd w:val="clear" w:color="auto" w:fill="FFFFFF"/>
        </w:rPr>
        <w:t xml:space="preserve"> </w:t>
      </w:r>
      <w:r w:rsidR="00EE3C13" w:rsidRPr="00EE3C13">
        <w:rPr>
          <w:rFonts w:ascii="Times New Roman" w:hAnsi="Times New Roman" w:cs="Times New Roman"/>
          <w:color w:val="222222"/>
          <w:sz w:val="24"/>
          <w:szCs w:val="24"/>
          <w:shd w:val="clear" w:color="auto" w:fill="FFFFFF"/>
        </w:rPr>
        <w:t xml:space="preserve">Elagamy, S. H., </w:t>
      </w:r>
      <w:proofErr w:type="spellStart"/>
      <w:r w:rsidR="00EE3C13" w:rsidRPr="00EE3C13">
        <w:rPr>
          <w:rFonts w:ascii="Times New Roman" w:hAnsi="Times New Roman" w:cs="Times New Roman"/>
          <w:color w:val="222222"/>
          <w:sz w:val="24"/>
          <w:szCs w:val="24"/>
          <w:shd w:val="clear" w:color="auto" w:fill="FFFFFF"/>
        </w:rPr>
        <w:t>Kannaiah</w:t>
      </w:r>
      <w:proofErr w:type="spellEnd"/>
      <w:r w:rsidR="00EE3C13" w:rsidRPr="00EE3C13">
        <w:rPr>
          <w:rFonts w:ascii="Times New Roman" w:hAnsi="Times New Roman" w:cs="Times New Roman"/>
          <w:color w:val="222222"/>
          <w:sz w:val="24"/>
          <w:szCs w:val="24"/>
          <w:shd w:val="clear" w:color="auto" w:fill="FFFFFF"/>
        </w:rPr>
        <w:t xml:space="preserve">, K. K. P., </w:t>
      </w:r>
      <w:proofErr w:type="spellStart"/>
      <w:r w:rsidR="00EE3C13" w:rsidRPr="00EE3C13">
        <w:rPr>
          <w:rFonts w:ascii="Times New Roman" w:hAnsi="Times New Roman" w:cs="Times New Roman"/>
          <w:color w:val="222222"/>
          <w:sz w:val="24"/>
          <w:szCs w:val="24"/>
          <w:shd w:val="clear" w:color="auto" w:fill="FFFFFF"/>
        </w:rPr>
        <w:t>Chanduluru</w:t>
      </w:r>
      <w:proofErr w:type="spellEnd"/>
      <w:r w:rsidR="00EE3C13" w:rsidRPr="00EE3C13">
        <w:rPr>
          <w:rFonts w:ascii="Times New Roman" w:hAnsi="Times New Roman" w:cs="Times New Roman"/>
          <w:color w:val="222222"/>
          <w:sz w:val="24"/>
          <w:szCs w:val="24"/>
          <w:shd w:val="clear" w:color="auto" w:fill="FFFFFF"/>
        </w:rPr>
        <w:t xml:space="preserve">, H. K., Yahaya, N., &amp; </w:t>
      </w:r>
      <w:proofErr w:type="spellStart"/>
      <w:r w:rsidR="00EE3C13" w:rsidRPr="00EE3C13">
        <w:rPr>
          <w:rFonts w:ascii="Times New Roman" w:hAnsi="Times New Roman" w:cs="Times New Roman"/>
          <w:color w:val="222222"/>
          <w:sz w:val="24"/>
          <w:szCs w:val="24"/>
          <w:shd w:val="clear" w:color="auto" w:fill="FFFFFF"/>
        </w:rPr>
        <w:t>Obaydo</w:t>
      </w:r>
      <w:proofErr w:type="spellEnd"/>
      <w:r w:rsidR="00EE3C13" w:rsidRPr="00EE3C13">
        <w:rPr>
          <w:rFonts w:ascii="Times New Roman" w:hAnsi="Times New Roman" w:cs="Times New Roman"/>
          <w:color w:val="222222"/>
          <w:sz w:val="24"/>
          <w:szCs w:val="24"/>
          <w:shd w:val="clear" w:color="auto" w:fill="FFFFFF"/>
        </w:rPr>
        <w:t>, R. H. (2025). EPPI: A comprehensive index framework for assessment of sustainability performance, and practicality of analytical methods. </w:t>
      </w:r>
      <w:r w:rsidR="00EE3C13" w:rsidRPr="00EE3C13">
        <w:rPr>
          <w:rFonts w:ascii="Times New Roman" w:hAnsi="Times New Roman" w:cs="Times New Roman"/>
          <w:i/>
          <w:iCs/>
          <w:color w:val="222222"/>
          <w:sz w:val="24"/>
          <w:szCs w:val="24"/>
          <w:shd w:val="clear" w:color="auto" w:fill="FFFFFF"/>
        </w:rPr>
        <w:t>Green Analytical Chemistry</w:t>
      </w:r>
      <w:r w:rsidR="00EE3C13" w:rsidRPr="00EE3C13">
        <w:rPr>
          <w:rFonts w:ascii="Times New Roman" w:hAnsi="Times New Roman" w:cs="Times New Roman"/>
          <w:color w:val="222222"/>
          <w:sz w:val="24"/>
          <w:szCs w:val="24"/>
          <w:shd w:val="clear" w:color="auto" w:fill="FFFFFF"/>
        </w:rPr>
        <w:t>, 100306.</w:t>
      </w:r>
      <w:r w:rsidR="00EE3C13">
        <w:rPr>
          <w:rFonts w:ascii="Times New Roman" w:hAnsi="Times New Roman" w:cs="Times New Roman"/>
          <w:color w:val="222222"/>
          <w:sz w:val="24"/>
          <w:szCs w:val="24"/>
          <w:shd w:val="clear" w:color="auto" w:fill="FFFFFF"/>
        </w:rPr>
        <w:t xml:space="preserve"> </w:t>
      </w:r>
      <w:hyperlink r:id="rId46" w:history="1">
        <w:r w:rsidR="00D32834" w:rsidRPr="002C6BA0">
          <w:rPr>
            <w:rStyle w:val="Hyperlink"/>
            <w:rFonts w:ascii="Times New Roman" w:hAnsi="Times New Roman" w:cs="Times New Roman"/>
            <w:sz w:val="24"/>
            <w:szCs w:val="24"/>
            <w:shd w:val="clear" w:color="auto" w:fill="FFFFFF"/>
          </w:rPr>
          <w:t>https://doi.org/10.1016/j.greeac.2025.100306</w:t>
        </w:r>
      </w:hyperlink>
    </w:p>
    <w:p w14:paraId="0BB8A85A" w14:textId="4AAC0E04" w:rsidR="0005075E" w:rsidRDefault="0005075E" w:rsidP="0074101C">
      <w:pPr>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[21] </w:t>
      </w:r>
      <w:r w:rsidRPr="0005075E">
        <w:rPr>
          <w:rFonts w:ascii="Times New Roman" w:hAnsi="Times New Roman" w:cs="Times New Roman"/>
          <w:color w:val="222222"/>
          <w:sz w:val="24"/>
          <w:szCs w:val="24"/>
          <w:shd w:val="clear" w:color="auto" w:fill="FFFFFF"/>
        </w:rPr>
        <w:t xml:space="preserve">Rezaee, M., Assadi, Y., Hosseini, M. R. M., Aghaee, E., Ahmadi, F., &amp; </w:t>
      </w:r>
      <w:proofErr w:type="spellStart"/>
      <w:r w:rsidRPr="0005075E">
        <w:rPr>
          <w:rFonts w:ascii="Times New Roman" w:hAnsi="Times New Roman" w:cs="Times New Roman"/>
          <w:color w:val="222222"/>
          <w:sz w:val="24"/>
          <w:szCs w:val="24"/>
          <w:shd w:val="clear" w:color="auto" w:fill="FFFFFF"/>
        </w:rPr>
        <w:t>Berijani</w:t>
      </w:r>
      <w:proofErr w:type="spellEnd"/>
      <w:r w:rsidRPr="0005075E">
        <w:rPr>
          <w:rFonts w:ascii="Times New Roman" w:hAnsi="Times New Roman" w:cs="Times New Roman"/>
          <w:color w:val="222222"/>
          <w:sz w:val="24"/>
          <w:szCs w:val="24"/>
          <w:shd w:val="clear" w:color="auto" w:fill="FFFFFF"/>
        </w:rPr>
        <w:t>, S. (2006). Determination of organic compounds in water using dispersive liquid–liquid microextraction. </w:t>
      </w:r>
      <w:r w:rsidRPr="0005075E">
        <w:rPr>
          <w:rFonts w:ascii="Times New Roman" w:hAnsi="Times New Roman" w:cs="Times New Roman"/>
          <w:i/>
          <w:iCs/>
          <w:color w:val="222222"/>
          <w:sz w:val="24"/>
          <w:szCs w:val="24"/>
          <w:shd w:val="clear" w:color="auto" w:fill="FFFFFF"/>
        </w:rPr>
        <w:t>Journal of Chromatography a</w:t>
      </w:r>
      <w:r w:rsidRPr="0005075E">
        <w:rPr>
          <w:rFonts w:ascii="Times New Roman" w:hAnsi="Times New Roman" w:cs="Times New Roman"/>
          <w:color w:val="222222"/>
          <w:sz w:val="24"/>
          <w:szCs w:val="24"/>
          <w:shd w:val="clear" w:color="auto" w:fill="FFFFFF"/>
        </w:rPr>
        <w:t>, </w:t>
      </w:r>
      <w:r w:rsidRPr="0005075E">
        <w:rPr>
          <w:rFonts w:ascii="Times New Roman" w:hAnsi="Times New Roman" w:cs="Times New Roman"/>
          <w:i/>
          <w:iCs/>
          <w:color w:val="222222"/>
          <w:sz w:val="24"/>
          <w:szCs w:val="24"/>
          <w:shd w:val="clear" w:color="auto" w:fill="FFFFFF"/>
        </w:rPr>
        <w:t>1116</w:t>
      </w:r>
      <w:r w:rsidRPr="0005075E">
        <w:rPr>
          <w:rFonts w:ascii="Times New Roman" w:hAnsi="Times New Roman" w:cs="Times New Roman"/>
          <w:color w:val="222222"/>
          <w:sz w:val="24"/>
          <w:szCs w:val="24"/>
          <w:shd w:val="clear" w:color="auto" w:fill="FFFFFF"/>
        </w:rPr>
        <w:t>(1-2), 1-9.</w:t>
      </w:r>
      <w:r>
        <w:rPr>
          <w:rFonts w:ascii="Times New Roman" w:hAnsi="Times New Roman" w:cs="Times New Roman"/>
          <w:color w:val="222222"/>
          <w:sz w:val="24"/>
          <w:szCs w:val="24"/>
          <w:shd w:val="clear" w:color="auto" w:fill="FFFFFF"/>
        </w:rPr>
        <w:t xml:space="preserve"> </w:t>
      </w:r>
      <w:hyperlink r:id="rId47" w:history="1">
        <w:r w:rsidRPr="002C6BA0">
          <w:rPr>
            <w:rStyle w:val="Hyperlink"/>
            <w:rFonts w:ascii="Times New Roman" w:hAnsi="Times New Roman" w:cs="Times New Roman"/>
            <w:sz w:val="24"/>
            <w:szCs w:val="24"/>
            <w:shd w:val="clear" w:color="auto" w:fill="FFFFFF"/>
          </w:rPr>
          <w:t>https://doi.org/10.1016/j.chroma.2006.03.007</w:t>
        </w:r>
      </w:hyperlink>
    </w:p>
    <w:p w14:paraId="188481C9" w14:textId="77777777" w:rsidR="0074101C" w:rsidRPr="00ED1358" w:rsidRDefault="0074101C" w:rsidP="0074101C">
      <w:pPr>
        <w:spacing w:line="360" w:lineRule="auto"/>
        <w:jc w:val="both"/>
        <w:rPr>
          <w:rFonts w:ascii="Times New Roman" w:hAnsi="Times New Roman" w:cs="Times New Roman"/>
          <w:sz w:val="24"/>
          <w:szCs w:val="24"/>
        </w:rPr>
      </w:pPr>
    </w:p>
    <w:p w14:paraId="4D3548D4" w14:textId="1F4C6129" w:rsidR="003A341E" w:rsidRPr="00ED1358" w:rsidRDefault="003A341E" w:rsidP="00ED1358">
      <w:pPr>
        <w:spacing w:after="0" w:line="360" w:lineRule="auto"/>
        <w:jc w:val="both"/>
        <w:rPr>
          <w:rFonts w:ascii="Times New Roman" w:hAnsi="Times New Roman" w:cs="Times New Roman"/>
          <w:sz w:val="24"/>
          <w:szCs w:val="24"/>
        </w:rPr>
      </w:pPr>
    </w:p>
    <w:sectPr w:rsidR="003A341E" w:rsidRPr="00ED1358" w:rsidSect="00E97634">
      <w:footerReference w:type="default" r:id="rId48"/>
      <w:pgSz w:w="12240" w:h="15840"/>
      <w:pgMar w:top="1701" w:right="1247" w:bottom="170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BFA25" w14:textId="77777777" w:rsidR="008C4369" w:rsidRDefault="008C4369" w:rsidP="00513A86">
      <w:pPr>
        <w:spacing w:after="0" w:line="240" w:lineRule="auto"/>
      </w:pPr>
      <w:r>
        <w:separator/>
      </w:r>
    </w:p>
  </w:endnote>
  <w:endnote w:type="continuationSeparator" w:id="0">
    <w:p w14:paraId="773F07B6" w14:textId="77777777" w:rsidR="008C4369" w:rsidRDefault="008C4369" w:rsidP="00513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7ACF0" w14:textId="77777777" w:rsidR="00F94365" w:rsidRDefault="00F943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B22B6" w14:textId="77777777" w:rsidR="008C4369" w:rsidRDefault="008C4369" w:rsidP="00513A86">
      <w:pPr>
        <w:spacing w:after="0" w:line="240" w:lineRule="auto"/>
      </w:pPr>
      <w:r>
        <w:separator/>
      </w:r>
    </w:p>
  </w:footnote>
  <w:footnote w:type="continuationSeparator" w:id="0">
    <w:p w14:paraId="56F8079E" w14:textId="77777777" w:rsidR="008C4369" w:rsidRDefault="008C4369" w:rsidP="00513A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C6DB8"/>
    <w:multiLevelType w:val="hybridMultilevel"/>
    <w:tmpl w:val="3FECA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7125F1"/>
    <w:multiLevelType w:val="hybridMultilevel"/>
    <w:tmpl w:val="A8125FE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 w15:restartNumberingAfterBreak="0">
    <w:nsid w:val="1A0F5CD7"/>
    <w:multiLevelType w:val="hybridMultilevel"/>
    <w:tmpl w:val="5B0AF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7A5175"/>
    <w:multiLevelType w:val="hybridMultilevel"/>
    <w:tmpl w:val="9DE25E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ACA548E"/>
    <w:multiLevelType w:val="hybridMultilevel"/>
    <w:tmpl w:val="3058094E"/>
    <w:lvl w:ilvl="0" w:tplc="F9D0252A">
      <w:start w:val="1"/>
      <w:numFmt w:val="lowerLetter"/>
      <w:lvlText w:val="(%1)"/>
      <w:lvlJc w:val="left"/>
      <w:pPr>
        <w:ind w:left="153" w:hanging="360"/>
      </w:pPr>
      <w:rPr>
        <w:rFonts w:hint="default"/>
      </w:rPr>
    </w:lvl>
    <w:lvl w:ilvl="1" w:tplc="40090019" w:tentative="1">
      <w:start w:val="1"/>
      <w:numFmt w:val="lowerLetter"/>
      <w:lvlText w:val="%2."/>
      <w:lvlJc w:val="left"/>
      <w:pPr>
        <w:ind w:left="873" w:hanging="360"/>
      </w:pPr>
    </w:lvl>
    <w:lvl w:ilvl="2" w:tplc="4009001B" w:tentative="1">
      <w:start w:val="1"/>
      <w:numFmt w:val="lowerRoman"/>
      <w:lvlText w:val="%3."/>
      <w:lvlJc w:val="right"/>
      <w:pPr>
        <w:ind w:left="1593" w:hanging="180"/>
      </w:pPr>
    </w:lvl>
    <w:lvl w:ilvl="3" w:tplc="4009000F" w:tentative="1">
      <w:start w:val="1"/>
      <w:numFmt w:val="decimal"/>
      <w:lvlText w:val="%4."/>
      <w:lvlJc w:val="left"/>
      <w:pPr>
        <w:ind w:left="2313" w:hanging="360"/>
      </w:pPr>
    </w:lvl>
    <w:lvl w:ilvl="4" w:tplc="40090019" w:tentative="1">
      <w:start w:val="1"/>
      <w:numFmt w:val="lowerLetter"/>
      <w:lvlText w:val="%5."/>
      <w:lvlJc w:val="left"/>
      <w:pPr>
        <w:ind w:left="3033" w:hanging="360"/>
      </w:pPr>
    </w:lvl>
    <w:lvl w:ilvl="5" w:tplc="4009001B" w:tentative="1">
      <w:start w:val="1"/>
      <w:numFmt w:val="lowerRoman"/>
      <w:lvlText w:val="%6."/>
      <w:lvlJc w:val="right"/>
      <w:pPr>
        <w:ind w:left="3753" w:hanging="180"/>
      </w:pPr>
    </w:lvl>
    <w:lvl w:ilvl="6" w:tplc="4009000F" w:tentative="1">
      <w:start w:val="1"/>
      <w:numFmt w:val="decimal"/>
      <w:lvlText w:val="%7."/>
      <w:lvlJc w:val="left"/>
      <w:pPr>
        <w:ind w:left="4473" w:hanging="360"/>
      </w:pPr>
    </w:lvl>
    <w:lvl w:ilvl="7" w:tplc="40090019" w:tentative="1">
      <w:start w:val="1"/>
      <w:numFmt w:val="lowerLetter"/>
      <w:lvlText w:val="%8."/>
      <w:lvlJc w:val="left"/>
      <w:pPr>
        <w:ind w:left="5193" w:hanging="360"/>
      </w:pPr>
    </w:lvl>
    <w:lvl w:ilvl="8" w:tplc="4009001B" w:tentative="1">
      <w:start w:val="1"/>
      <w:numFmt w:val="lowerRoman"/>
      <w:lvlText w:val="%9."/>
      <w:lvlJc w:val="right"/>
      <w:pPr>
        <w:ind w:left="5913" w:hanging="180"/>
      </w:pPr>
    </w:lvl>
  </w:abstractNum>
  <w:abstractNum w:abstractNumId="5" w15:restartNumberingAfterBreak="0">
    <w:nsid w:val="337A0478"/>
    <w:multiLevelType w:val="hybridMultilevel"/>
    <w:tmpl w:val="667E60CA"/>
    <w:lvl w:ilvl="0" w:tplc="4186043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52049C5"/>
    <w:multiLevelType w:val="hybridMultilevel"/>
    <w:tmpl w:val="9418F1B0"/>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7" w15:restartNumberingAfterBreak="0">
    <w:nsid w:val="40316AE1"/>
    <w:multiLevelType w:val="hybridMultilevel"/>
    <w:tmpl w:val="0A7A28A6"/>
    <w:lvl w:ilvl="0" w:tplc="4186043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538C593C"/>
    <w:multiLevelType w:val="hybridMultilevel"/>
    <w:tmpl w:val="58C28326"/>
    <w:lvl w:ilvl="0" w:tplc="C96A5F40">
      <w:start w:val="1"/>
      <w:numFmt w:val="lowerLetter"/>
      <w:lvlText w:val="(%1)"/>
      <w:lvlJc w:val="left"/>
      <w:pPr>
        <w:ind w:left="1070" w:hanging="360"/>
      </w:pPr>
      <w:rPr>
        <w:rFonts w:hint="default"/>
        <w:b w:val="0"/>
        <w:bCs/>
        <w:i w:val="0"/>
        <w:iCs/>
      </w:rPr>
    </w:lvl>
    <w:lvl w:ilvl="1" w:tplc="40090019" w:tentative="1">
      <w:start w:val="1"/>
      <w:numFmt w:val="lowerLetter"/>
      <w:lvlText w:val="%2."/>
      <w:lvlJc w:val="left"/>
      <w:pPr>
        <w:ind w:left="1790" w:hanging="360"/>
      </w:pPr>
    </w:lvl>
    <w:lvl w:ilvl="2" w:tplc="4009001B" w:tentative="1">
      <w:start w:val="1"/>
      <w:numFmt w:val="lowerRoman"/>
      <w:lvlText w:val="%3."/>
      <w:lvlJc w:val="right"/>
      <w:pPr>
        <w:ind w:left="2510" w:hanging="180"/>
      </w:pPr>
    </w:lvl>
    <w:lvl w:ilvl="3" w:tplc="4009000F" w:tentative="1">
      <w:start w:val="1"/>
      <w:numFmt w:val="decimal"/>
      <w:lvlText w:val="%4."/>
      <w:lvlJc w:val="left"/>
      <w:pPr>
        <w:ind w:left="3230" w:hanging="360"/>
      </w:pPr>
    </w:lvl>
    <w:lvl w:ilvl="4" w:tplc="40090019" w:tentative="1">
      <w:start w:val="1"/>
      <w:numFmt w:val="lowerLetter"/>
      <w:lvlText w:val="%5."/>
      <w:lvlJc w:val="left"/>
      <w:pPr>
        <w:ind w:left="3950" w:hanging="360"/>
      </w:pPr>
    </w:lvl>
    <w:lvl w:ilvl="5" w:tplc="4009001B" w:tentative="1">
      <w:start w:val="1"/>
      <w:numFmt w:val="lowerRoman"/>
      <w:lvlText w:val="%6."/>
      <w:lvlJc w:val="right"/>
      <w:pPr>
        <w:ind w:left="4670" w:hanging="180"/>
      </w:pPr>
    </w:lvl>
    <w:lvl w:ilvl="6" w:tplc="4009000F" w:tentative="1">
      <w:start w:val="1"/>
      <w:numFmt w:val="decimal"/>
      <w:lvlText w:val="%7."/>
      <w:lvlJc w:val="left"/>
      <w:pPr>
        <w:ind w:left="5390" w:hanging="360"/>
      </w:pPr>
    </w:lvl>
    <w:lvl w:ilvl="7" w:tplc="40090019" w:tentative="1">
      <w:start w:val="1"/>
      <w:numFmt w:val="lowerLetter"/>
      <w:lvlText w:val="%8."/>
      <w:lvlJc w:val="left"/>
      <w:pPr>
        <w:ind w:left="6110" w:hanging="360"/>
      </w:pPr>
    </w:lvl>
    <w:lvl w:ilvl="8" w:tplc="4009001B" w:tentative="1">
      <w:start w:val="1"/>
      <w:numFmt w:val="lowerRoman"/>
      <w:lvlText w:val="%9."/>
      <w:lvlJc w:val="right"/>
      <w:pPr>
        <w:ind w:left="6830" w:hanging="180"/>
      </w:pPr>
    </w:lvl>
  </w:abstractNum>
  <w:abstractNum w:abstractNumId="9" w15:restartNumberingAfterBreak="0">
    <w:nsid w:val="5B7B3FB9"/>
    <w:multiLevelType w:val="hybridMultilevel"/>
    <w:tmpl w:val="03AAFFE4"/>
    <w:lvl w:ilvl="0" w:tplc="6CC08C5A">
      <w:start w:val="1"/>
      <w:numFmt w:val="lowerLetter"/>
      <w:lvlText w:val="(%1)"/>
      <w:lvlJc w:val="left"/>
      <w:pPr>
        <w:ind w:left="-207" w:hanging="360"/>
      </w:pPr>
      <w:rPr>
        <w:rFonts w:hint="default"/>
      </w:rPr>
    </w:lvl>
    <w:lvl w:ilvl="1" w:tplc="40090019" w:tentative="1">
      <w:start w:val="1"/>
      <w:numFmt w:val="lowerLetter"/>
      <w:lvlText w:val="%2."/>
      <w:lvlJc w:val="left"/>
      <w:pPr>
        <w:ind w:left="513" w:hanging="360"/>
      </w:pPr>
    </w:lvl>
    <w:lvl w:ilvl="2" w:tplc="4009001B" w:tentative="1">
      <w:start w:val="1"/>
      <w:numFmt w:val="lowerRoman"/>
      <w:lvlText w:val="%3."/>
      <w:lvlJc w:val="right"/>
      <w:pPr>
        <w:ind w:left="1233" w:hanging="180"/>
      </w:pPr>
    </w:lvl>
    <w:lvl w:ilvl="3" w:tplc="4009000F" w:tentative="1">
      <w:start w:val="1"/>
      <w:numFmt w:val="decimal"/>
      <w:lvlText w:val="%4."/>
      <w:lvlJc w:val="left"/>
      <w:pPr>
        <w:ind w:left="1953" w:hanging="360"/>
      </w:pPr>
    </w:lvl>
    <w:lvl w:ilvl="4" w:tplc="40090019" w:tentative="1">
      <w:start w:val="1"/>
      <w:numFmt w:val="lowerLetter"/>
      <w:lvlText w:val="%5."/>
      <w:lvlJc w:val="left"/>
      <w:pPr>
        <w:ind w:left="2673" w:hanging="360"/>
      </w:pPr>
    </w:lvl>
    <w:lvl w:ilvl="5" w:tplc="4009001B" w:tentative="1">
      <w:start w:val="1"/>
      <w:numFmt w:val="lowerRoman"/>
      <w:lvlText w:val="%6."/>
      <w:lvlJc w:val="right"/>
      <w:pPr>
        <w:ind w:left="3393" w:hanging="180"/>
      </w:pPr>
    </w:lvl>
    <w:lvl w:ilvl="6" w:tplc="4009000F" w:tentative="1">
      <w:start w:val="1"/>
      <w:numFmt w:val="decimal"/>
      <w:lvlText w:val="%7."/>
      <w:lvlJc w:val="left"/>
      <w:pPr>
        <w:ind w:left="4113" w:hanging="360"/>
      </w:pPr>
    </w:lvl>
    <w:lvl w:ilvl="7" w:tplc="40090019" w:tentative="1">
      <w:start w:val="1"/>
      <w:numFmt w:val="lowerLetter"/>
      <w:lvlText w:val="%8."/>
      <w:lvlJc w:val="left"/>
      <w:pPr>
        <w:ind w:left="4833" w:hanging="360"/>
      </w:pPr>
    </w:lvl>
    <w:lvl w:ilvl="8" w:tplc="4009001B" w:tentative="1">
      <w:start w:val="1"/>
      <w:numFmt w:val="lowerRoman"/>
      <w:lvlText w:val="%9."/>
      <w:lvlJc w:val="right"/>
      <w:pPr>
        <w:ind w:left="5553" w:hanging="180"/>
      </w:pPr>
    </w:lvl>
  </w:abstractNum>
  <w:abstractNum w:abstractNumId="10" w15:restartNumberingAfterBreak="0">
    <w:nsid w:val="7E142AB2"/>
    <w:multiLevelType w:val="multilevel"/>
    <w:tmpl w:val="80466F1C"/>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16cid:durableId="2001805534">
    <w:abstractNumId w:val="0"/>
  </w:num>
  <w:num w:numId="2" w16cid:durableId="1296910162">
    <w:abstractNumId w:val="2"/>
  </w:num>
  <w:num w:numId="3" w16cid:durableId="927890000">
    <w:abstractNumId w:val="10"/>
  </w:num>
  <w:num w:numId="4" w16cid:durableId="893811543">
    <w:abstractNumId w:val="8"/>
  </w:num>
  <w:num w:numId="5" w16cid:durableId="428164736">
    <w:abstractNumId w:val="5"/>
  </w:num>
  <w:num w:numId="6" w16cid:durableId="1890335202">
    <w:abstractNumId w:val="1"/>
  </w:num>
  <w:num w:numId="7" w16cid:durableId="1612668369">
    <w:abstractNumId w:val="6"/>
  </w:num>
  <w:num w:numId="8" w16cid:durableId="2042971120">
    <w:abstractNumId w:val="7"/>
  </w:num>
  <w:num w:numId="9" w16cid:durableId="1952936108">
    <w:abstractNumId w:val="9"/>
  </w:num>
  <w:num w:numId="10" w16cid:durableId="272711462">
    <w:abstractNumId w:val="4"/>
  </w:num>
  <w:num w:numId="11" w16cid:durableId="20382639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IwNjM1MTczNLYwsDRR0lEKTi0uzszPAykwrgUAew4d4ywAAAA="/>
  </w:docVars>
  <w:rsids>
    <w:rsidRoot w:val="00A4346A"/>
    <w:rsid w:val="00000D99"/>
    <w:rsid w:val="00001F0C"/>
    <w:rsid w:val="000148E9"/>
    <w:rsid w:val="00023E20"/>
    <w:rsid w:val="00037E84"/>
    <w:rsid w:val="000472A5"/>
    <w:rsid w:val="0005075E"/>
    <w:rsid w:val="00056A38"/>
    <w:rsid w:val="000571AF"/>
    <w:rsid w:val="000602A8"/>
    <w:rsid w:val="00062C20"/>
    <w:rsid w:val="000852C3"/>
    <w:rsid w:val="00092B7B"/>
    <w:rsid w:val="000A167C"/>
    <w:rsid w:val="000B5C67"/>
    <w:rsid w:val="000C09D5"/>
    <w:rsid w:val="000F2172"/>
    <w:rsid w:val="00107E8D"/>
    <w:rsid w:val="001332A7"/>
    <w:rsid w:val="00142270"/>
    <w:rsid w:val="001455D4"/>
    <w:rsid w:val="00146C2B"/>
    <w:rsid w:val="00150C7A"/>
    <w:rsid w:val="001563B3"/>
    <w:rsid w:val="00157C28"/>
    <w:rsid w:val="00163155"/>
    <w:rsid w:val="00166866"/>
    <w:rsid w:val="0017311E"/>
    <w:rsid w:val="00190F04"/>
    <w:rsid w:val="0019155F"/>
    <w:rsid w:val="00196C0F"/>
    <w:rsid w:val="001A0C57"/>
    <w:rsid w:val="001A608D"/>
    <w:rsid w:val="001B3398"/>
    <w:rsid w:val="001C4804"/>
    <w:rsid w:val="001D2E97"/>
    <w:rsid w:val="001D5045"/>
    <w:rsid w:val="001F26F9"/>
    <w:rsid w:val="001F5D81"/>
    <w:rsid w:val="00231614"/>
    <w:rsid w:val="00237A79"/>
    <w:rsid w:val="00245251"/>
    <w:rsid w:val="00245D4E"/>
    <w:rsid w:val="00250844"/>
    <w:rsid w:val="002551F6"/>
    <w:rsid w:val="00255EA3"/>
    <w:rsid w:val="00262624"/>
    <w:rsid w:val="002639B0"/>
    <w:rsid w:val="00265B52"/>
    <w:rsid w:val="00273D89"/>
    <w:rsid w:val="00296340"/>
    <w:rsid w:val="002B3D53"/>
    <w:rsid w:val="002B4E28"/>
    <w:rsid w:val="002B57DF"/>
    <w:rsid w:val="002B73AC"/>
    <w:rsid w:val="002C358D"/>
    <w:rsid w:val="002C6FD9"/>
    <w:rsid w:val="002C7F07"/>
    <w:rsid w:val="002D1A4D"/>
    <w:rsid w:val="002E3BB0"/>
    <w:rsid w:val="002E3C98"/>
    <w:rsid w:val="002E5ABE"/>
    <w:rsid w:val="002E75AE"/>
    <w:rsid w:val="002F25C5"/>
    <w:rsid w:val="00302CC4"/>
    <w:rsid w:val="00310628"/>
    <w:rsid w:val="003115E4"/>
    <w:rsid w:val="0031492B"/>
    <w:rsid w:val="003153CC"/>
    <w:rsid w:val="00322FBD"/>
    <w:rsid w:val="00333BD2"/>
    <w:rsid w:val="00334719"/>
    <w:rsid w:val="00351BAA"/>
    <w:rsid w:val="00355145"/>
    <w:rsid w:val="003551E4"/>
    <w:rsid w:val="0037181D"/>
    <w:rsid w:val="003834D1"/>
    <w:rsid w:val="003A341E"/>
    <w:rsid w:val="003A5551"/>
    <w:rsid w:val="003B2913"/>
    <w:rsid w:val="003C6F86"/>
    <w:rsid w:val="003D0289"/>
    <w:rsid w:val="003D26D3"/>
    <w:rsid w:val="003E7D05"/>
    <w:rsid w:val="0041438A"/>
    <w:rsid w:val="0041656E"/>
    <w:rsid w:val="00417973"/>
    <w:rsid w:val="00424CEE"/>
    <w:rsid w:val="0042763D"/>
    <w:rsid w:val="00431C9E"/>
    <w:rsid w:val="00434428"/>
    <w:rsid w:val="00443550"/>
    <w:rsid w:val="00460262"/>
    <w:rsid w:val="00465349"/>
    <w:rsid w:val="00465578"/>
    <w:rsid w:val="00466B10"/>
    <w:rsid w:val="004866A7"/>
    <w:rsid w:val="004944F7"/>
    <w:rsid w:val="0049585F"/>
    <w:rsid w:val="004B2A84"/>
    <w:rsid w:val="004B3C18"/>
    <w:rsid w:val="004B463C"/>
    <w:rsid w:val="004C00DB"/>
    <w:rsid w:val="004C05BE"/>
    <w:rsid w:val="004D2E68"/>
    <w:rsid w:val="004D52E4"/>
    <w:rsid w:val="004D7756"/>
    <w:rsid w:val="004E7D6E"/>
    <w:rsid w:val="0050192B"/>
    <w:rsid w:val="00505D7F"/>
    <w:rsid w:val="005117B4"/>
    <w:rsid w:val="00513A86"/>
    <w:rsid w:val="00516938"/>
    <w:rsid w:val="00524B5A"/>
    <w:rsid w:val="00525124"/>
    <w:rsid w:val="00534690"/>
    <w:rsid w:val="00537807"/>
    <w:rsid w:val="00551061"/>
    <w:rsid w:val="00560A07"/>
    <w:rsid w:val="00562885"/>
    <w:rsid w:val="00567CA3"/>
    <w:rsid w:val="00572CFD"/>
    <w:rsid w:val="005745DC"/>
    <w:rsid w:val="00580612"/>
    <w:rsid w:val="00585439"/>
    <w:rsid w:val="00586345"/>
    <w:rsid w:val="00587035"/>
    <w:rsid w:val="00590B68"/>
    <w:rsid w:val="00593A8C"/>
    <w:rsid w:val="005B24AD"/>
    <w:rsid w:val="005B31C0"/>
    <w:rsid w:val="005B7F12"/>
    <w:rsid w:val="005C2B9B"/>
    <w:rsid w:val="005C599E"/>
    <w:rsid w:val="005D26F4"/>
    <w:rsid w:val="005F5B55"/>
    <w:rsid w:val="006000BA"/>
    <w:rsid w:val="00622FAF"/>
    <w:rsid w:val="006506C0"/>
    <w:rsid w:val="00660755"/>
    <w:rsid w:val="0066571D"/>
    <w:rsid w:val="00672885"/>
    <w:rsid w:val="0067698F"/>
    <w:rsid w:val="00681E7D"/>
    <w:rsid w:val="0069238C"/>
    <w:rsid w:val="006927AB"/>
    <w:rsid w:val="00696D5F"/>
    <w:rsid w:val="006B3F3C"/>
    <w:rsid w:val="006C32BC"/>
    <w:rsid w:val="006C7CE8"/>
    <w:rsid w:val="006D0659"/>
    <w:rsid w:val="006F5227"/>
    <w:rsid w:val="006F7E82"/>
    <w:rsid w:val="0070640D"/>
    <w:rsid w:val="007079DB"/>
    <w:rsid w:val="00714CD3"/>
    <w:rsid w:val="00723B9B"/>
    <w:rsid w:val="00730FAD"/>
    <w:rsid w:val="007408AB"/>
    <w:rsid w:val="0074101C"/>
    <w:rsid w:val="00746306"/>
    <w:rsid w:val="00751106"/>
    <w:rsid w:val="00751ABF"/>
    <w:rsid w:val="0075335D"/>
    <w:rsid w:val="00762AD0"/>
    <w:rsid w:val="00764907"/>
    <w:rsid w:val="00771D00"/>
    <w:rsid w:val="007724D7"/>
    <w:rsid w:val="00791F93"/>
    <w:rsid w:val="007A0424"/>
    <w:rsid w:val="007A2807"/>
    <w:rsid w:val="007A7AA2"/>
    <w:rsid w:val="007A7FF1"/>
    <w:rsid w:val="007B238B"/>
    <w:rsid w:val="007B67F4"/>
    <w:rsid w:val="007C3E2C"/>
    <w:rsid w:val="007C47F4"/>
    <w:rsid w:val="007C51C2"/>
    <w:rsid w:val="007D4E03"/>
    <w:rsid w:val="00800020"/>
    <w:rsid w:val="00800601"/>
    <w:rsid w:val="00803993"/>
    <w:rsid w:val="008221FB"/>
    <w:rsid w:val="00831D9A"/>
    <w:rsid w:val="00833962"/>
    <w:rsid w:val="0083590F"/>
    <w:rsid w:val="0083677A"/>
    <w:rsid w:val="008445F8"/>
    <w:rsid w:val="00862E5A"/>
    <w:rsid w:val="00863C3F"/>
    <w:rsid w:val="00864718"/>
    <w:rsid w:val="00874D0E"/>
    <w:rsid w:val="00877061"/>
    <w:rsid w:val="00884F7A"/>
    <w:rsid w:val="00885061"/>
    <w:rsid w:val="00893D9A"/>
    <w:rsid w:val="008972BD"/>
    <w:rsid w:val="008B3C23"/>
    <w:rsid w:val="008C4369"/>
    <w:rsid w:val="008C496A"/>
    <w:rsid w:val="008C5A11"/>
    <w:rsid w:val="008C5B57"/>
    <w:rsid w:val="008D0715"/>
    <w:rsid w:val="008D128A"/>
    <w:rsid w:val="008D1DC4"/>
    <w:rsid w:val="008D308C"/>
    <w:rsid w:val="008D732A"/>
    <w:rsid w:val="008E2057"/>
    <w:rsid w:val="008F3295"/>
    <w:rsid w:val="008F3958"/>
    <w:rsid w:val="008F70E6"/>
    <w:rsid w:val="00903A1E"/>
    <w:rsid w:val="00903CCE"/>
    <w:rsid w:val="009123C2"/>
    <w:rsid w:val="00912749"/>
    <w:rsid w:val="00943AB1"/>
    <w:rsid w:val="00947362"/>
    <w:rsid w:val="00951F96"/>
    <w:rsid w:val="00967F17"/>
    <w:rsid w:val="009704D9"/>
    <w:rsid w:val="00977C56"/>
    <w:rsid w:val="0098500B"/>
    <w:rsid w:val="00991CF9"/>
    <w:rsid w:val="00996AA5"/>
    <w:rsid w:val="009B014E"/>
    <w:rsid w:val="009C6066"/>
    <w:rsid w:val="009D5D15"/>
    <w:rsid w:val="009D6617"/>
    <w:rsid w:val="009F0D38"/>
    <w:rsid w:val="009F1E0D"/>
    <w:rsid w:val="009F2BD5"/>
    <w:rsid w:val="00A0559E"/>
    <w:rsid w:val="00A1181C"/>
    <w:rsid w:val="00A12E5E"/>
    <w:rsid w:val="00A14FDC"/>
    <w:rsid w:val="00A2716C"/>
    <w:rsid w:val="00A3052F"/>
    <w:rsid w:val="00A4346A"/>
    <w:rsid w:val="00A479FA"/>
    <w:rsid w:val="00A57006"/>
    <w:rsid w:val="00A6001A"/>
    <w:rsid w:val="00A8078A"/>
    <w:rsid w:val="00A8124B"/>
    <w:rsid w:val="00A920A9"/>
    <w:rsid w:val="00A923E5"/>
    <w:rsid w:val="00A95C4C"/>
    <w:rsid w:val="00A979F4"/>
    <w:rsid w:val="00AB3D32"/>
    <w:rsid w:val="00AB48CF"/>
    <w:rsid w:val="00AB74C2"/>
    <w:rsid w:val="00AC4860"/>
    <w:rsid w:val="00AF19BE"/>
    <w:rsid w:val="00AF21B9"/>
    <w:rsid w:val="00AF518C"/>
    <w:rsid w:val="00B06287"/>
    <w:rsid w:val="00B45B17"/>
    <w:rsid w:val="00B56825"/>
    <w:rsid w:val="00B60D37"/>
    <w:rsid w:val="00B62C4F"/>
    <w:rsid w:val="00B741EA"/>
    <w:rsid w:val="00B75E5E"/>
    <w:rsid w:val="00B92E96"/>
    <w:rsid w:val="00BB20B5"/>
    <w:rsid w:val="00BC5A72"/>
    <w:rsid w:val="00BD5584"/>
    <w:rsid w:val="00BD5D68"/>
    <w:rsid w:val="00BE2246"/>
    <w:rsid w:val="00BE2903"/>
    <w:rsid w:val="00BF39DF"/>
    <w:rsid w:val="00BF7CB2"/>
    <w:rsid w:val="00C10156"/>
    <w:rsid w:val="00C1595C"/>
    <w:rsid w:val="00C20681"/>
    <w:rsid w:val="00C45B23"/>
    <w:rsid w:val="00C50619"/>
    <w:rsid w:val="00C77D86"/>
    <w:rsid w:val="00C8355A"/>
    <w:rsid w:val="00C83D77"/>
    <w:rsid w:val="00C8496B"/>
    <w:rsid w:val="00C87389"/>
    <w:rsid w:val="00C91476"/>
    <w:rsid w:val="00CB1292"/>
    <w:rsid w:val="00CB478A"/>
    <w:rsid w:val="00CC1E9E"/>
    <w:rsid w:val="00CC24DB"/>
    <w:rsid w:val="00CC2FD8"/>
    <w:rsid w:val="00CC3BB2"/>
    <w:rsid w:val="00CC5B9C"/>
    <w:rsid w:val="00CD148C"/>
    <w:rsid w:val="00CD5F46"/>
    <w:rsid w:val="00CF1652"/>
    <w:rsid w:val="00D200A7"/>
    <w:rsid w:val="00D212F1"/>
    <w:rsid w:val="00D311D5"/>
    <w:rsid w:val="00D32834"/>
    <w:rsid w:val="00D37D47"/>
    <w:rsid w:val="00D6081B"/>
    <w:rsid w:val="00D643BF"/>
    <w:rsid w:val="00D656CA"/>
    <w:rsid w:val="00D87030"/>
    <w:rsid w:val="00D878E3"/>
    <w:rsid w:val="00D93FB7"/>
    <w:rsid w:val="00D94FE1"/>
    <w:rsid w:val="00DA2426"/>
    <w:rsid w:val="00DA708B"/>
    <w:rsid w:val="00DC4FD5"/>
    <w:rsid w:val="00DD2922"/>
    <w:rsid w:val="00DD2AA8"/>
    <w:rsid w:val="00DD4030"/>
    <w:rsid w:val="00E007FF"/>
    <w:rsid w:val="00E07FBC"/>
    <w:rsid w:val="00E1658C"/>
    <w:rsid w:val="00E17A2A"/>
    <w:rsid w:val="00E24F08"/>
    <w:rsid w:val="00E3438B"/>
    <w:rsid w:val="00E419A4"/>
    <w:rsid w:val="00E4752F"/>
    <w:rsid w:val="00E6691E"/>
    <w:rsid w:val="00E764A8"/>
    <w:rsid w:val="00E775ED"/>
    <w:rsid w:val="00E7763C"/>
    <w:rsid w:val="00E85001"/>
    <w:rsid w:val="00E86A6E"/>
    <w:rsid w:val="00E97634"/>
    <w:rsid w:val="00EB3AA1"/>
    <w:rsid w:val="00EC72A5"/>
    <w:rsid w:val="00ED1358"/>
    <w:rsid w:val="00EE3C13"/>
    <w:rsid w:val="00F032B4"/>
    <w:rsid w:val="00F07168"/>
    <w:rsid w:val="00F07274"/>
    <w:rsid w:val="00F15204"/>
    <w:rsid w:val="00F20612"/>
    <w:rsid w:val="00F21184"/>
    <w:rsid w:val="00F31BED"/>
    <w:rsid w:val="00F6591B"/>
    <w:rsid w:val="00F7005A"/>
    <w:rsid w:val="00F7026F"/>
    <w:rsid w:val="00F8122B"/>
    <w:rsid w:val="00F94365"/>
    <w:rsid w:val="00FC59A3"/>
    <w:rsid w:val="00FC75E0"/>
    <w:rsid w:val="00FD22B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BD7064"/>
  <w15:docId w15:val="{173A82D0-B581-4CED-8BFE-605498982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0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2057"/>
    <w:pPr>
      <w:ind w:left="720"/>
      <w:contextualSpacing/>
    </w:pPr>
  </w:style>
  <w:style w:type="paragraph" w:styleId="FootnoteText">
    <w:name w:val="footnote text"/>
    <w:basedOn w:val="Normal"/>
    <w:link w:val="FootnoteTextChar"/>
    <w:uiPriority w:val="99"/>
    <w:semiHidden/>
    <w:unhideWhenUsed/>
    <w:rsid w:val="00513A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3A86"/>
    <w:rPr>
      <w:sz w:val="20"/>
      <w:szCs w:val="20"/>
    </w:rPr>
  </w:style>
  <w:style w:type="character" w:styleId="FootnoteReference">
    <w:name w:val="footnote reference"/>
    <w:basedOn w:val="DefaultParagraphFont"/>
    <w:uiPriority w:val="99"/>
    <w:semiHidden/>
    <w:unhideWhenUsed/>
    <w:rsid w:val="00513A86"/>
    <w:rPr>
      <w:vertAlign w:val="superscript"/>
    </w:rPr>
  </w:style>
  <w:style w:type="paragraph" w:styleId="Header">
    <w:name w:val="header"/>
    <w:basedOn w:val="Normal"/>
    <w:link w:val="HeaderChar"/>
    <w:uiPriority w:val="99"/>
    <w:unhideWhenUsed/>
    <w:rsid w:val="00513A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A86"/>
  </w:style>
  <w:style w:type="paragraph" w:styleId="Footer">
    <w:name w:val="footer"/>
    <w:basedOn w:val="Normal"/>
    <w:link w:val="FooterChar"/>
    <w:uiPriority w:val="99"/>
    <w:unhideWhenUsed/>
    <w:rsid w:val="00513A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A86"/>
  </w:style>
  <w:style w:type="table" w:styleId="TableGrid">
    <w:name w:val="Table Grid"/>
    <w:basedOn w:val="TableNormal"/>
    <w:uiPriority w:val="59"/>
    <w:rsid w:val="00F15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516938"/>
  </w:style>
  <w:style w:type="character" w:styleId="Hyperlink">
    <w:name w:val="Hyperlink"/>
    <w:basedOn w:val="DefaultParagraphFont"/>
    <w:uiPriority w:val="99"/>
    <w:unhideWhenUsed/>
    <w:rsid w:val="00862E5A"/>
    <w:rPr>
      <w:color w:val="0000FF" w:themeColor="hyperlink"/>
      <w:u w:val="single"/>
    </w:rPr>
  </w:style>
  <w:style w:type="character" w:customStyle="1" w:styleId="UnresolvedMention1">
    <w:name w:val="Unresolved Mention1"/>
    <w:basedOn w:val="DefaultParagraphFont"/>
    <w:uiPriority w:val="99"/>
    <w:semiHidden/>
    <w:unhideWhenUsed/>
    <w:rsid w:val="00862E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chart" Target="charts/chart8.xml"/><Relationship Id="rId39" Type="http://schemas.openxmlformats.org/officeDocument/2006/relationships/image" Target="media/image22.png"/><Relationship Id="rId21" Type="http://schemas.openxmlformats.org/officeDocument/2006/relationships/chart" Target="charts/chart3.xml"/><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hyperlink" Target="https://doi.org/10.1016/j.chroma.2006.03.007"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2.png"/><Relationship Id="rId11" Type="http://schemas.openxmlformats.org/officeDocument/2006/relationships/image" Target="media/image4.png"/><Relationship Id="rId24" Type="http://schemas.openxmlformats.org/officeDocument/2006/relationships/chart" Target="charts/chart6.xml"/><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hyperlink" Target="https://doi.org/10.1021/acs.analchem.0c01887"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image" Target="media/image19.pn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hart" Target="charts/chart1.xml"/><Relationship Id="rId31" Type="http://schemas.openxmlformats.org/officeDocument/2006/relationships/image" Target="media/image14.png"/><Relationship Id="rId44" Type="http://schemas.openxmlformats.org/officeDocument/2006/relationships/hyperlink" Target="https://doi.org/10.1016/j.talanta.2018.01.01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chart" Target="charts/chart7.xml"/><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hyperlink" Target="https://doi.org/10.1016/j.greeac.2025.100306" TargetMode="External"/><Relationship Id="rId20" Type="http://schemas.openxmlformats.org/officeDocument/2006/relationships/chart" Target="charts/chart2.xml"/><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alvi\OneDrive\Desktop\Sharda\PhD\Experimental\Risperidone\R.Optimization.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C:\Users\malvi\OneDrive\Desktop\Sharda\PhD\Experimental\Risperidone\R.Pill.Val.xlsx" TargetMode="External"/><Relationship Id="rId2" Type="http://schemas.microsoft.com/office/2011/relationships/chartColorStyle" Target="colors4.xml"/><Relationship Id="rId1" Type="http://schemas.microsoft.com/office/2011/relationships/chartStyle" Target="style4.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malvi\OneDrive\Desktop\Sharda\PhD\Experimental\Risperidone\R.Optimizatio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alvi\OneDrive\Desktop\Sharda\PhD\Experimental\Risperidone\R.Optimization.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alvi\OneDrive\Desktop\Sharda\PhD\Experimental\Risperidone\R.Optimization.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alvi\OneDrive\Desktop\Sharda\PhD\Experimental\Risperidone\R.Optimization.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C:\Users\malvi\OneDrive\Desktop\Sharda\PhD\Experimental\Risperidone\R.Optimization.xlsx" TargetMode="External"/><Relationship Id="rId2" Type="http://schemas.microsoft.com/office/2011/relationships/chartColorStyle" Target="colors1.xml"/><Relationship Id="rId1" Type="http://schemas.microsoft.com/office/2011/relationships/chartStyle" Target="style1.xml"/></Relationships>
</file>

<file path=word/charts/_rels/chart7.xml.rels><?xml version="1.0" encoding="UTF-8" standalone="yes"?>
<Relationships xmlns="http://schemas.openxmlformats.org/package/2006/relationships"><Relationship Id="rId1" Type="http://schemas.openxmlformats.org/officeDocument/2006/relationships/oleObject" Target="file:///C:\Users\malvi\OneDrive\Desktop\Sharda\PhD\Experimental\Risperidone\R.Optimization.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C:\Users\malvi\OneDrive\Desktop\Sharda\PhD\Experimental\Risperidone\R.Blood.Val.xlsx" TargetMode="External"/><Relationship Id="rId2" Type="http://schemas.microsoft.com/office/2011/relationships/chartColorStyle" Target="colors2.xml"/><Relationship Id="rId1" Type="http://schemas.microsoft.com/office/2011/relationships/chartStyle" Target="style2.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malvi\OneDrive\Desktop\Sharda\PhD\Experimental\Risperidone\R.Urine.Val.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IN" sz="1100"/>
              <a:t>(a) Extraction solvent</a:t>
            </a:r>
          </a:p>
        </c:rich>
      </c:tx>
      <c:overlay val="0"/>
    </c:title>
    <c:autoTitleDeleted val="0"/>
    <c:plotArea>
      <c:layout/>
      <c:barChart>
        <c:barDir val="col"/>
        <c:grouping val="clustered"/>
        <c:varyColors val="0"/>
        <c:ser>
          <c:idx val="0"/>
          <c:order val="0"/>
          <c:invertIfNegative val="0"/>
          <c:dPt>
            <c:idx val="4"/>
            <c:invertIfNegative val="0"/>
            <c:bubble3D val="0"/>
            <c:spPr>
              <a:solidFill>
                <a:srgbClr val="EE0000"/>
              </a:solidFill>
            </c:spPr>
            <c:extLst>
              <c:ext xmlns:c16="http://schemas.microsoft.com/office/drawing/2014/chart" uri="{C3380CC4-5D6E-409C-BE32-E72D297353CC}">
                <c16:uniqueId val="{00000001-B62B-4029-91A9-350ACB3A8740}"/>
              </c:ext>
            </c:extLst>
          </c:dPt>
          <c:errBars>
            <c:errBarType val="both"/>
            <c:errValType val="cust"/>
            <c:noEndCap val="0"/>
            <c:plus>
              <c:numRef>
                <c:f>'Extraction solvent'!$G$13</c:f>
                <c:numCache>
                  <c:formatCode>General</c:formatCode>
                  <c:ptCount val="1"/>
                  <c:pt idx="0">
                    <c:v>336.3</c:v>
                  </c:pt>
                </c:numCache>
              </c:numRef>
            </c:plus>
            <c:minus>
              <c:numRef>
                <c:f>'Extraction solvent'!$G$13</c:f>
                <c:numCache>
                  <c:formatCode>General</c:formatCode>
                  <c:ptCount val="1"/>
                  <c:pt idx="0">
                    <c:v>336.3</c:v>
                  </c:pt>
                </c:numCache>
              </c:numRef>
            </c:minus>
          </c:errBars>
          <c:cat>
            <c:strRef>
              <c:f>'Extraction solvent'!$C$10:$G$10</c:f>
              <c:strCache>
                <c:ptCount val="5"/>
                <c:pt idx="0">
                  <c:v>DCM</c:v>
                </c:pt>
                <c:pt idx="1">
                  <c:v>CF</c:v>
                </c:pt>
                <c:pt idx="2">
                  <c:v>CCL4</c:v>
                </c:pt>
                <c:pt idx="3">
                  <c:v>CB</c:v>
                </c:pt>
                <c:pt idx="4">
                  <c:v>TCE</c:v>
                </c:pt>
              </c:strCache>
            </c:strRef>
          </c:cat>
          <c:val>
            <c:numRef>
              <c:f>'Extraction solvent'!$C$11:$G$11</c:f>
              <c:numCache>
                <c:formatCode>General</c:formatCode>
                <c:ptCount val="5"/>
                <c:pt idx="0">
                  <c:v>6452</c:v>
                </c:pt>
                <c:pt idx="1">
                  <c:v>11423</c:v>
                </c:pt>
                <c:pt idx="2">
                  <c:v>5922</c:v>
                </c:pt>
                <c:pt idx="3">
                  <c:v>9120</c:v>
                </c:pt>
                <c:pt idx="4">
                  <c:v>16453</c:v>
                </c:pt>
              </c:numCache>
            </c:numRef>
          </c:val>
          <c:extLst>
            <c:ext xmlns:c16="http://schemas.microsoft.com/office/drawing/2014/chart" uri="{C3380CC4-5D6E-409C-BE32-E72D297353CC}">
              <c16:uniqueId val="{00000000-B62B-4029-91A9-350ACB3A8740}"/>
            </c:ext>
          </c:extLst>
        </c:ser>
        <c:dLbls>
          <c:showLegendKey val="0"/>
          <c:showVal val="0"/>
          <c:showCatName val="0"/>
          <c:showSerName val="0"/>
          <c:showPercent val="0"/>
          <c:showBubbleSize val="0"/>
        </c:dLbls>
        <c:gapWidth val="150"/>
        <c:axId val="141945472"/>
        <c:axId val="142279040"/>
      </c:barChart>
      <c:catAx>
        <c:axId val="141945472"/>
        <c:scaling>
          <c:orientation val="minMax"/>
        </c:scaling>
        <c:delete val="0"/>
        <c:axPos val="b"/>
        <c:numFmt formatCode="General" sourceLinked="0"/>
        <c:majorTickMark val="out"/>
        <c:minorTickMark val="none"/>
        <c:tickLblPos val="nextTo"/>
        <c:crossAx val="142279040"/>
        <c:crosses val="autoZero"/>
        <c:auto val="1"/>
        <c:lblAlgn val="ctr"/>
        <c:lblOffset val="100"/>
        <c:noMultiLvlLbl val="0"/>
      </c:catAx>
      <c:valAx>
        <c:axId val="142279040"/>
        <c:scaling>
          <c:orientation val="minMax"/>
        </c:scaling>
        <c:delete val="0"/>
        <c:axPos val="l"/>
        <c:numFmt formatCode="General" sourceLinked="1"/>
        <c:majorTickMark val="out"/>
        <c:minorTickMark val="none"/>
        <c:tickLblPos val="nextTo"/>
        <c:crossAx val="141945472"/>
        <c:crosses val="autoZero"/>
        <c:crossBetween val="between"/>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n-IN"/>
              <a:t>(c) Pill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trendline>
            <c:spPr>
              <a:ln w="19050" cap="rnd">
                <a:solidFill>
                  <a:schemeClr val="accent1"/>
                </a:solidFill>
                <a:prstDash val="sysDot"/>
              </a:ln>
              <a:effectLst/>
            </c:spPr>
            <c:trendlineType val="linear"/>
            <c:intercept val="0"/>
            <c:dispRSqr val="0"/>
            <c:dispEq val="0"/>
          </c:trendline>
          <c:errBars>
            <c:errDir val="y"/>
            <c:errBarType val="both"/>
            <c:errValType val="cust"/>
            <c:noEndCap val="0"/>
            <c:plus>
              <c:numRef>
                <c:f>(Linearity.U!$E$19,Linearity.U!$F$19,Linearity.U!$G$19,Linearity.U!$H$19,Linearity.U!$I$19)</c:f>
                <c:numCache>
                  <c:formatCode>General</c:formatCode>
                  <c:ptCount val="5"/>
                  <c:pt idx="0">
                    <c:v>75.42</c:v>
                  </c:pt>
                  <c:pt idx="1">
                    <c:v>69.66</c:v>
                  </c:pt>
                  <c:pt idx="2">
                    <c:v>97.26</c:v>
                  </c:pt>
                  <c:pt idx="3">
                    <c:v>11.06</c:v>
                  </c:pt>
                  <c:pt idx="4">
                    <c:v>67.7</c:v>
                  </c:pt>
                </c:numCache>
              </c:numRef>
            </c:plus>
            <c:minus>
              <c:numRef>
                <c:f>(Linearity.U!$E$19,Linearity.U!$F$19,Linearity.U!$G$19,Linearity.U!$H$19,Linearity.U!$I$19)</c:f>
                <c:numCache>
                  <c:formatCode>General</c:formatCode>
                  <c:ptCount val="5"/>
                  <c:pt idx="0">
                    <c:v>75.42</c:v>
                  </c:pt>
                  <c:pt idx="1">
                    <c:v>69.66</c:v>
                  </c:pt>
                  <c:pt idx="2">
                    <c:v>97.26</c:v>
                  </c:pt>
                  <c:pt idx="3">
                    <c:v>11.06</c:v>
                  </c:pt>
                  <c:pt idx="4">
                    <c:v>67.7</c:v>
                  </c:pt>
                </c:numCache>
              </c:numRef>
            </c:minus>
            <c:spPr>
              <a:noFill/>
              <a:ln w="9525" cap="flat" cmpd="sng" algn="ctr">
                <a:solidFill>
                  <a:schemeClr val="tx1">
                    <a:lumMod val="65000"/>
                    <a:lumOff val="35000"/>
                  </a:schemeClr>
                </a:solidFill>
                <a:round/>
              </a:ln>
              <a:effectLst/>
            </c:spPr>
          </c:errBars>
          <c:cat>
            <c:strRef>
              <c:f>Linearity.U!$E$16:$I$16</c:f>
              <c:strCache>
                <c:ptCount val="5"/>
                <c:pt idx="0">
                  <c:v>1 mg/ml</c:v>
                </c:pt>
                <c:pt idx="1">
                  <c:v>2 mg/ml</c:v>
                </c:pt>
                <c:pt idx="2">
                  <c:v>4 mg/ml</c:v>
                </c:pt>
                <c:pt idx="3">
                  <c:v>6 mg/ml</c:v>
                </c:pt>
                <c:pt idx="4">
                  <c:v>8 mg/ml</c:v>
                </c:pt>
              </c:strCache>
            </c:strRef>
          </c:cat>
          <c:val>
            <c:numRef>
              <c:f>Linearity.U!$E$17:$I$17</c:f>
              <c:numCache>
                <c:formatCode>General</c:formatCode>
                <c:ptCount val="5"/>
                <c:pt idx="0">
                  <c:v>2735</c:v>
                </c:pt>
                <c:pt idx="1">
                  <c:v>4134</c:v>
                </c:pt>
                <c:pt idx="2">
                  <c:v>8510</c:v>
                </c:pt>
                <c:pt idx="3">
                  <c:v>9075</c:v>
                </c:pt>
                <c:pt idx="4">
                  <c:v>12215</c:v>
                </c:pt>
              </c:numCache>
            </c:numRef>
          </c:val>
          <c:smooth val="0"/>
          <c:extLst>
            <c:ext xmlns:c16="http://schemas.microsoft.com/office/drawing/2014/chart" uri="{C3380CC4-5D6E-409C-BE32-E72D297353CC}">
              <c16:uniqueId val="{00000001-164D-4537-B772-E9CBFD138AA0}"/>
            </c:ext>
          </c:extLst>
        </c:ser>
        <c:dLbls>
          <c:showLegendKey val="0"/>
          <c:showVal val="0"/>
          <c:showCatName val="0"/>
          <c:showSerName val="0"/>
          <c:showPercent val="0"/>
          <c:showBubbleSize val="0"/>
        </c:dLbls>
        <c:smooth val="0"/>
        <c:axId val="1649364288"/>
        <c:axId val="1649363808"/>
      </c:lineChart>
      <c:catAx>
        <c:axId val="1649364288"/>
        <c:scaling>
          <c:orientation val="minMax"/>
        </c:scaling>
        <c:delete val="0"/>
        <c:axPos val="b"/>
        <c:numFmt formatCode="General" sourceLinked="1"/>
        <c:majorTickMark val="none"/>
        <c:minorTickMark val="none"/>
        <c:tickLblPos val="nextTo"/>
        <c:spPr>
          <a:noFill/>
          <a:ln w="9525" cap="flat" cmpd="sng" algn="ctr">
            <a:solidFill>
              <a:schemeClr val="dk1">
                <a:shade val="95000"/>
                <a:satMod val="10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649363808"/>
        <c:crosses val="autoZero"/>
        <c:auto val="1"/>
        <c:lblAlgn val="ctr"/>
        <c:lblOffset val="100"/>
        <c:noMultiLvlLbl val="0"/>
      </c:catAx>
      <c:valAx>
        <c:axId val="1649363808"/>
        <c:scaling>
          <c:orientation val="minMax"/>
        </c:scaling>
        <c:delete val="0"/>
        <c:axPos val="l"/>
        <c:numFmt formatCode="General" sourceLinked="1"/>
        <c:majorTickMark val="none"/>
        <c:minorTickMark val="none"/>
        <c:tickLblPos val="nextTo"/>
        <c:spPr>
          <a:noFill/>
          <a:ln w="9525" cap="flat" cmpd="sng" algn="ctr">
            <a:solidFill>
              <a:schemeClr val="dk1">
                <a:shade val="95000"/>
                <a:satMod val="105000"/>
              </a:schemeClr>
            </a:solidFill>
            <a:prstDash val="soli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6493642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25400" cap="flat" cmpd="sng" algn="ctr">
      <a:solidFill>
        <a:schemeClr val="dk1"/>
      </a:solidFill>
      <a:prstDash val="solid"/>
      <a:round/>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IN" sz="1100"/>
              <a:t>(b) Extraction solvent volume</a:t>
            </a:r>
          </a:p>
        </c:rich>
      </c:tx>
      <c:overlay val="0"/>
    </c:title>
    <c:autoTitleDeleted val="0"/>
    <c:plotArea>
      <c:layout/>
      <c:lineChart>
        <c:grouping val="standard"/>
        <c:varyColors val="0"/>
        <c:ser>
          <c:idx val="0"/>
          <c:order val="0"/>
          <c:marker>
            <c:symbol val="none"/>
          </c:marker>
          <c:dPt>
            <c:idx val="1"/>
            <c:bubble3D val="0"/>
            <c:extLst>
              <c:ext xmlns:c16="http://schemas.microsoft.com/office/drawing/2014/chart" uri="{C3380CC4-5D6E-409C-BE32-E72D297353CC}">
                <c16:uniqueId val="{00000001-75D2-4D0B-868D-4CAA40952D68}"/>
              </c:ext>
            </c:extLst>
          </c:dPt>
          <c:errBars>
            <c:errDir val="y"/>
            <c:errBarType val="both"/>
            <c:errValType val="cust"/>
            <c:noEndCap val="0"/>
            <c:plus>
              <c:numRef>
                <c:f>'Extraction solvent volume'!$C$11:$E$11</c:f>
                <c:numCache>
                  <c:formatCode>General</c:formatCode>
                  <c:ptCount val="3"/>
                  <c:pt idx="0">
                    <c:v>658.9</c:v>
                  </c:pt>
                  <c:pt idx="1">
                    <c:v>762.2</c:v>
                  </c:pt>
                  <c:pt idx="2">
                    <c:v>854.3</c:v>
                  </c:pt>
                </c:numCache>
              </c:numRef>
            </c:plus>
            <c:minus>
              <c:numRef>
                <c:f>'Extraction solvent volume'!$C$11:$E$11</c:f>
                <c:numCache>
                  <c:formatCode>General</c:formatCode>
                  <c:ptCount val="3"/>
                  <c:pt idx="0">
                    <c:v>658.9</c:v>
                  </c:pt>
                  <c:pt idx="1">
                    <c:v>762.2</c:v>
                  </c:pt>
                  <c:pt idx="2">
                    <c:v>854.3</c:v>
                  </c:pt>
                </c:numCache>
              </c:numRef>
            </c:minus>
          </c:errBars>
          <c:cat>
            <c:strRef>
              <c:f>'Extraction solvent volume'!$C$8:$E$8</c:f>
              <c:strCache>
                <c:ptCount val="3"/>
                <c:pt idx="0">
                  <c:v>75 µl</c:v>
                </c:pt>
                <c:pt idx="1">
                  <c:v>100 µl</c:v>
                </c:pt>
                <c:pt idx="2">
                  <c:v>125 µl</c:v>
                </c:pt>
              </c:strCache>
            </c:strRef>
          </c:cat>
          <c:val>
            <c:numRef>
              <c:f>'Extraction solvent volume'!$C$9:$E$9</c:f>
              <c:numCache>
                <c:formatCode>General</c:formatCode>
                <c:ptCount val="3"/>
                <c:pt idx="0">
                  <c:v>17610</c:v>
                </c:pt>
                <c:pt idx="1">
                  <c:v>22663</c:v>
                </c:pt>
                <c:pt idx="2">
                  <c:v>14759</c:v>
                </c:pt>
              </c:numCache>
            </c:numRef>
          </c:val>
          <c:smooth val="0"/>
          <c:extLst>
            <c:ext xmlns:c16="http://schemas.microsoft.com/office/drawing/2014/chart" uri="{C3380CC4-5D6E-409C-BE32-E72D297353CC}">
              <c16:uniqueId val="{00000000-75D2-4D0B-868D-4CAA40952D68}"/>
            </c:ext>
          </c:extLst>
        </c:ser>
        <c:dLbls>
          <c:showLegendKey val="0"/>
          <c:showVal val="0"/>
          <c:showCatName val="0"/>
          <c:showSerName val="0"/>
          <c:showPercent val="0"/>
          <c:showBubbleSize val="0"/>
        </c:dLbls>
        <c:smooth val="0"/>
        <c:axId val="142323712"/>
        <c:axId val="142325248"/>
      </c:lineChart>
      <c:catAx>
        <c:axId val="142323712"/>
        <c:scaling>
          <c:orientation val="minMax"/>
        </c:scaling>
        <c:delete val="0"/>
        <c:axPos val="b"/>
        <c:numFmt formatCode="General" sourceLinked="0"/>
        <c:majorTickMark val="out"/>
        <c:minorTickMark val="none"/>
        <c:tickLblPos val="nextTo"/>
        <c:crossAx val="142325248"/>
        <c:crosses val="autoZero"/>
        <c:auto val="1"/>
        <c:lblAlgn val="ctr"/>
        <c:lblOffset val="100"/>
        <c:noMultiLvlLbl val="0"/>
      </c:catAx>
      <c:valAx>
        <c:axId val="142325248"/>
        <c:scaling>
          <c:orientation val="minMax"/>
        </c:scaling>
        <c:delete val="0"/>
        <c:axPos val="l"/>
        <c:numFmt formatCode="General" sourceLinked="1"/>
        <c:majorTickMark val="out"/>
        <c:minorTickMark val="none"/>
        <c:tickLblPos val="nextTo"/>
        <c:crossAx val="142323712"/>
        <c:crosses val="autoZero"/>
        <c:crossBetween val="between"/>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IN" sz="1100"/>
              <a:t>(a) Disperser solvent</a:t>
            </a:r>
          </a:p>
        </c:rich>
      </c:tx>
      <c:overlay val="0"/>
    </c:title>
    <c:autoTitleDeleted val="0"/>
    <c:plotArea>
      <c:layout/>
      <c:barChart>
        <c:barDir val="col"/>
        <c:grouping val="clustered"/>
        <c:varyColors val="0"/>
        <c:ser>
          <c:idx val="0"/>
          <c:order val="0"/>
          <c:invertIfNegative val="0"/>
          <c:dPt>
            <c:idx val="0"/>
            <c:invertIfNegative val="0"/>
            <c:bubble3D val="0"/>
            <c:spPr>
              <a:solidFill>
                <a:srgbClr val="EE0000"/>
              </a:solidFill>
            </c:spPr>
            <c:extLst>
              <c:ext xmlns:c16="http://schemas.microsoft.com/office/drawing/2014/chart" uri="{C3380CC4-5D6E-409C-BE32-E72D297353CC}">
                <c16:uniqueId val="{00000001-6015-44A1-B53C-F228DD8ED413}"/>
              </c:ext>
            </c:extLst>
          </c:dPt>
          <c:errBars>
            <c:errBarType val="both"/>
            <c:errValType val="cust"/>
            <c:noEndCap val="0"/>
            <c:plus>
              <c:numRef>
                <c:f>'Disperser solvent'!$C$13:$F$13</c:f>
                <c:numCache>
                  <c:formatCode>General</c:formatCode>
                  <c:ptCount val="4"/>
                  <c:pt idx="0">
                    <c:v>408.9</c:v>
                  </c:pt>
                  <c:pt idx="1">
                    <c:v>150</c:v>
                  </c:pt>
                  <c:pt idx="2">
                    <c:v>0</c:v>
                  </c:pt>
                  <c:pt idx="3">
                    <c:v>0</c:v>
                  </c:pt>
                </c:numCache>
              </c:numRef>
            </c:plus>
            <c:minus>
              <c:numRef>
                <c:f>'Disperser solvent'!$C$13:$F$13</c:f>
                <c:numCache>
                  <c:formatCode>General</c:formatCode>
                  <c:ptCount val="4"/>
                  <c:pt idx="0">
                    <c:v>408.9</c:v>
                  </c:pt>
                  <c:pt idx="1">
                    <c:v>150</c:v>
                  </c:pt>
                  <c:pt idx="2">
                    <c:v>0</c:v>
                  </c:pt>
                  <c:pt idx="3">
                    <c:v>0</c:v>
                  </c:pt>
                </c:numCache>
              </c:numRef>
            </c:minus>
            <c:spPr>
              <a:ln w="12700"/>
            </c:spPr>
          </c:errBars>
          <c:cat>
            <c:strRef>
              <c:f>'Disperser solvent'!$C$10:$F$10</c:f>
              <c:strCache>
                <c:ptCount val="4"/>
                <c:pt idx="0">
                  <c:v>ACN</c:v>
                </c:pt>
                <c:pt idx="1">
                  <c:v>ACT</c:v>
                </c:pt>
                <c:pt idx="2">
                  <c:v>MeOH</c:v>
                </c:pt>
                <c:pt idx="3">
                  <c:v>EtOH</c:v>
                </c:pt>
              </c:strCache>
            </c:strRef>
          </c:cat>
          <c:val>
            <c:numRef>
              <c:f>'Disperser solvent'!$C$11:$F$11</c:f>
              <c:numCache>
                <c:formatCode>General</c:formatCode>
                <c:ptCount val="4"/>
                <c:pt idx="0">
                  <c:v>13686</c:v>
                </c:pt>
                <c:pt idx="1">
                  <c:v>9262</c:v>
                </c:pt>
                <c:pt idx="2">
                  <c:v>0</c:v>
                </c:pt>
                <c:pt idx="3">
                  <c:v>0</c:v>
                </c:pt>
              </c:numCache>
            </c:numRef>
          </c:val>
          <c:extLst>
            <c:ext xmlns:c16="http://schemas.microsoft.com/office/drawing/2014/chart" uri="{C3380CC4-5D6E-409C-BE32-E72D297353CC}">
              <c16:uniqueId val="{00000000-6015-44A1-B53C-F228DD8ED413}"/>
            </c:ext>
          </c:extLst>
        </c:ser>
        <c:dLbls>
          <c:showLegendKey val="0"/>
          <c:showVal val="0"/>
          <c:showCatName val="0"/>
          <c:showSerName val="0"/>
          <c:showPercent val="0"/>
          <c:showBubbleSize val="0"/>
        </c:dLbls>
        <c:gapWidth val="150"/>
        <c:axId val="143385728"/>
        <c:axId val="143387264"/>
      </c:barChart>
      <c:catAx>
        <c:axId val="143385728"/>
        <c:scaling>
          <c:orientation val="minMax"/>
        </c:scaling>
        <c:delete val="0"/>
        <c:axPos val="b"/>
        <c:numFmt formatCode="General" sourceLinked="0"/>
        <c:majorTickMark val="out"/>
        <c:minorTickMark val="none"/>
        <c:tickLblPos val="nextTo"/>
        <c:crossAx val="143387264"/>
        <c:crosses val="autoZero"/>
        <c:auto val="1"/>
        <c:lblAlgn val="ctr"/>
        <c:lblOffset val="100"/>
        <c:noMultiLvlLbl val="0"/>
      </c:catAx>
      <c:valAx>
        <c:axId val="143387264"/>
        <c:scaling>
          <c:orientation val="minMax"/>
        </c:scaling>
        <c:delete val="0"/>
        <c:axPos val="l"/>
        <c:numFmt formatCode="General" sourceLinked="1"/>
        <c:majorTickMark val="out"/>
        <c:minorTickMark val="none"/>
        <c:tickLblPos val="nextTo"/>
        <c:crossAx val="143385728"/>
        <c:crosses val="autoZero"/>
        <c:crossBetween val="between"/>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IN"/>
              <a:t>(b) Disperser solvent volume</a:t>
            </a:r>
          </a:p>
        </c:rich>
      </c:tx>
      <c:overlay val="0"/>
    </c:title>
    <c:autoTitleDeleted val="0"/>
    <c:plotArea>
      <c:layout/>
      <c:lineChart>
        <c:grouping val="standard"/>
        <c:varyColors val="0"/>
        <c:ser>
          <c:idx val="0"/>
          <c:order val="0"/>
          <c:marker>
            <c:symbol val="none"/>
          </c:marker>
          <c:dPt>
            <c:idx val="2"/>
            <c:bubble3D val="0"/>
            <c:extLst>
              <c:ext xmlns:c16="http://schemas.microsoft.com/office/drawing/2014/chart" uri="{C3380CC4-5D6E-409C-BE32-E72D297353CC}">
                <c16:uniqueId val="{00000001-3EB2-4394-B3B6-90750F7B9B68}"/>
              </c:ext>
            </c:extLst>
          </c:dPt>
          <c:errBars>
            <c:errDir val="y"/>
            <c:errBarType val="both"/>
            <c:errValType val="cust"/>
            <c:noEndCap val="0"/>
            <c:plus>
              <c:numRef>
                <c:f>'Disperser solvent volume'!$C$13:$F$13</c:f>
                <c:numCache>
                  <c:formatCode>General</c:formatCode>
                  <c:ptCount val="4"/>
                  <c:pt idx="0">
                    <c:v>563.1</c:v>
                  </c:pt>
                  <c:pt idx="1">
                    <c:v>368.4</c:v>
                  </c:pt>
                  <c:pt idx="2">
                    <c:v>514.79999999999995</c:v>
                  </c:pt>
                  <c:pt idx="3">
                    <c:v>286</c:v>
                  </c:pt>
                </c:numCache>
              </c:numRef>
            </c:plus>
            <c:minus>
              <c:numRef>
                <c:f>'Disperser solvent volume'!$C$13:$F$13</c:f>
                <c:numCache>
                  <c:formatCode>General</c:formatCode>
                  <c:ptCount val="4"/>
                  <c:pt idx="0">
                    <c:v>563.1</c:v>
                  </c:pt>
                  <c:pt idx="1">
                    <c:v>368.4</c:v>
                  </c:pt>
                  <c:pt idx="2">
                    <c:v>514.79999999999995</c:v>
                  </c:pt>
                  <c:pt idx="3">
                    <c:v>286</c:v>
                  </c:pt>
                </c:numCache>
              </c:numRef>
            </c:minus>
          </c:errBars>
          <c:cat>
            <c:strRef>
              <c:f>'Disperser solvent volume'!$C$10:$F$10</c:f>
              <c:strCache>
                <c:ptCount val="4"/>
                <c:pt idx="0">
                  <c:v>200 µl</c:v>
                </c:pt>
                <c:pt idx="1">
                  <c:v>500 µl</c:v>
                </c:pt>
                <c:pt idx="2">
                  <c:v>800 µl</c:v>
                </c:pt>
                <c:pt idx="3">
                  <c:v>1000 µl</c:v>
                </c:pt>
              </c:strCache>
            </c:strRef>
          </c:cat>
          <c:val>
            <c:numRef>
              <c:f>'Disperser solvent volume'!$C$11:$F$11</c:f>
              <c:numCache>
                <c:formatCode>General</c:formatCode>
                <c:ptCount val="4"/>
                <c:pt idx="0">
                  <c:v>9040</c:v>
                </c:pt>
                <c:pt idx="1">
                  <c:v>7208</c:v>
                </c:pt>
                <c:pt idx="2">
                  <c:v>10419</c:v>
                </c:pt>
                <c:pt idx="3">
                  <c:v>9341</c:v>
                </c:pt>
              </c:numCache>
            </c:numRef>
          </c:val>
          <c:smooth val="0"/>
          <c:extLst>
            <c:ext xmlns:c16="http://schemas.microsoft.com/office/drawing/2014/chart" uri="{C3380CC4-5D6E-409C-BE32-E72D297353CC}">
              <c16:uniqueId val="{00000000-3EB2-4394-B3B6-90750F7B9B68}"/>
            </c:ext>
          </c:extLst>
        </c:ser>
        <c:dLbls>
          <c:showLegendKey val="0"/>
          <c:showVal val="0"/>
          <c:showCatName val="0"/>
          <c:showSerName val="0"/>
          <c:showPercent val="0"/>
          <c:showBubbleSize val="0"/>
        </c:dLbls>
        <c:smooth val="0"/>
        <c:axId val="143411456"/>
        <c:axId val="143421440"/>
      </c:lineChart>
      <c:catAx>
        <c:axId val="143411456"/>
        <c:scaling>
          <c:orientation val="minMax"/>
        </c:scaling>
        <c:delete val="0"/>
        <c:axPos val="b"/>
        <c:numFmt formatCode="General" sourceLinked="0"/>
        <c:majorTickMark val="out"/>
        <c:minorTickMark val="none"/>
        <c:tickLblPos val="nextTo"/>
        <c:crossAx val="143421440"/>
        <c:crosses val="autoZero"/>
        <c:auto val="1"/>
        <c:lblAlgn val="ctr"/>
        <c:lblOffset val="100"/>
        <c:noMultiLvlLbl val="0"/>
      </c:catAx>
      <c:valAx>
        <c:axId val="143421440"/>
        <c:scaling>
          <c:orientation val="minMax"/>
        </c:scaling>
        <c:delete val="0"/>
        <c:axPos val="l"/>
        <c:numFmt formatCode="General" sourceLinked="1"/>
        <c:majorTickMark val="out"/>
        <c:minorTickMark val="none"/>
        <c:tickLblPos val="nextTo"/>
        <c:crossAx val="143411456"/>
        <c:crosses val="autoZero"/>
        <c:crossBetween val="between"/>
      </c:valAx>
    </c:plotArea>
    <c:plotVisOnly val="1"/>
    <c:dispBlanksAs val="gap"/>
    <c:showDLblsOverMax val="0"/>
  </c:chart>
  <c:txPr>
    <a:bodyPr/>
    <a:lstStyle/>
    <a:p>
      <a:pPr>
        <a:defRPr sz="1000">
          <a:latin typeface="Arial" panose="020B0604020202020204" pitchFamily="34" charset="0"/>
          <a:cs typeface="Arial" panose="020B0604020202020204" pitchFamily="34"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IN" sz="1100"/>
              <a:t>(a) pH</a:t>
            </a:r>
          </a:p>
        </c:rich>
      </c:tx>
      <c:overlay val="0"/>
    </c:title>
    <c:autoTitleDeleted val="0"/>
    <c:plotArea>
      <c:layout/>
      <c:lineChart>
        <c:grouping val="standard"/>
        <c:varyColors val="0"/>
        <c:ser>
          <c:idx val="0"/>
          <c:order val="0"/>
          <c:marker>
            <c:symbol val="none"/>
          </c:marker>
          <c:dPt>
            <c:idx val="2"/>
            <c:bubble3D val="0"/>
            <c:extLst>
              <c:ext xmlns:c16="http://schemas.microsoft.com/office/drawing/2014/chart" uri="{C3380CC4-5D6E-409C-BE32-E72D297353CC}">
                <c16:uniqueId val="{00000001-9207-4376-B2B7-9BD30FC15BA9}"/>
              </c:ext>
            </c:extLst>
          </c:dPt>
          <c:errBars>
            <c:errDir val="y"/>
            <c:errBarType val="both"/>
            <c:errValType val="cust"/>
            <c:noEndCap val="0"/>
            <c:plus>
              <c:numRef>
                <c:f>pH!$F$13</c:f>
                <c:numCache>
                  <c:formatCode>General</c:formatCode>
                  <c:ptCount val="1"/>
                  <c:pt idx="0">
                    <c:v>351.3</c:v>
                  </c:pt>
                </c:numCache>
              </c:numRef>
            </c:plus>
            <c:minus>
              <c:numRef>
                <c:f>pH!$C$13:$F$13</c:f>
                <c:numCache>
                  <c:formatCode>General</c:formatCode>
                  <c:ptCount val="4"/>
                  <c:pt idx="0">
                    <c:v>561.1</c:v>
                  </c:pt>
                  <c:pt idx="1">
                    <c:v>635</c:v>
                  </c:pt>
                  <c:pt idx="2">
                    <c:v>566.79999999999995</c:v>
                  </c:pt>
                  <c:pt idx="3">
                    <c:v>351.3</c:v>
                  </c:pt>
                </c:numCache>
              </c:numRef>
            </c:minus>
          </c:errBars>
          <c:cat>
            <c:strRef>
              <c:f>pH!$C$10:$F$10</c:f>
              <c:strCache>
                <c:ptCount val="4"/>
                <c:pt idx="0">
                  <c:v>pH 7</c:v>
                </c:pt>
                <c:pt idx="1">
                  <c:v>pH 9</c:v>
                </c:pt>
                <c:pt idx="2">
                  <c:v>pH 10</c:v>
                </c:pt>
                <c:pt idx="3">
                  <c:v>pH 11</c:v>
                </c:pt>
              </c:strCache>
            </c:strRef>
          </c:cat>
          <c:val>
            <c:numRef>
              <c:f>pH!$C$11:$F$11</c:f>
              <c:numCache>
                <c:formatCode>General</c:formatCode>
                <c:ptCount val="4"/>
                <c:pt idx="0">
                  <c:v>14451</c:v>
                </c:pt>
                <c:pt idx="1">
                  <c:v>19267</c:v>
                </c:pt>
                <c:pt idx="2">
                  <c:v>22887</c:v>
                </c:pt>
                <c:pt idx="3">
                  <c:v>14204</c:v>
                </c:pt>
              </c:numCache>
            </c:numRef>
          </c:val>
          <c:smooth val="0"/>
          <c:extLst>
            <c:ext xmlns:c16="http://schemas.microsoft.com/office/drawing/2014/chart" uri="{C3380CC4-5D6E-409C-BE32-E72D297353CC}">
              <c16:uniqueId val="{00000000-9207-4376-B2B7-9BD30FC15BA9}"/>
            </c:ext>
          </c:extLst>
        </c:ser>
        <c:dLbls>
          <c:showLegendKey val="0"/>
          <c:showVal val="0"/>
          <c:showCatName val="0"/>
          <c:showSerName val="0"/>
          <c:showPercent val="0"/>
          <c:showBubbleSize val="0"/>
        </c:dLbls>
        <c:smooth val="0"/>
        <c:axId val="143686656"/>
        <c:axId val="143692544"/>
      </c:lineChart>
      <c:catAx>
        <c:axId val="143686656"/>
        <c:scaling>
          <c:orientation val="minMax"/>
        </c:scaling>
        <c:delete val="0"/>
        <c:axPos val="b"/>
        <c:numFmt formatCode="General" sourceLinked="0"/>
        <c:majorTickMark val="out"/>
        <c:minorTickMark val="none"/>
        <c:tickLblPos val="nextTo"/>
        <c:crossAx val="143692544"/>
        <c:crosses val="autoZero"/>
        <c:auto val="1"/>
        <c:lblAlgn val="ctr"/>
        <c:lblOffset val="100"/>
        <c:noMultiLvlLbl val="0"/>
      </c:catAx>
      <c:valAx>
        <c:axId val="143692544"/>
        <c:scaling>
          <c:orientation val="minMax"/>
        </c:scaling>
        <c:delete val="0"/>
        <c:axPos val="l"/>
        <c:numFmt formatCode="General" sourceLinked="1"/>
        <c:majorTickMark val="out"/>
        <c:minorTickMark val="none"/>
        <c:tickLblPos val="nextTo"/>
        <c:crossAx val="143686656"/>
        <c:crosses val="autoZero"/>
        <c:crossBetween val="between"/>
      </c:valAx>
    </c:plotArea>
    <c:plotVisOnly val="1"/>
    <c:dispBlanksAs val="gap"/>
    <c:showDLblsOverMax val="0"/>
  </c:chart>
  <c:txPr>
    <a:bodyPr/>
    <a:lstStyle/>
    <a:p>
      <a:pPr>
        <a:defRPr sz="1000">
          <a:latin typeface="Arial" panose="020B0604020202020204" pitchFamily="34" charset="0"/>
          <a:cs typeface="Arial" panose="020B0604020202020204" pitchFamily="34"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dk1"/>
                </a:solidFill>
                <a:latin typeface="Arial" panose="020B0604020202020204" pitchFamily="34" charset="0"/>
                <a:ea typeface="+mn-ea"/>
                <a:cs typeface="Arial" panose="020B0604020202020204" pitchFamily="34" charset="0"/>
              </a:defRPr>
            </a:pPr>
            <a:r>
              <a:rPr lang="en-IN" sz="1100" b="1">
                <a:latin typeface="Arial" panose="020B0604020202020204" pitchFamily="34" charset="0"/>
                <a:cs typeface="Arial" panose="020B0604020202020204" pitchFamily="34" charset="0"/>
              </a:rPr>
              <a:t>(b) Ionic Strength</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dk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errBars>
            <c:errDir val="y"/>
            <c:errBarType val="both"/>
            <c:errValType val="cust"/>
            <c:noEndCap val="0"/>
            <c:plus>
              <c:numRef>
                <c:f>'C:\Users\malvi\OneDrive\Desktop\Sharda\PhD\Experimental\Diphenhydramine\[D.Optimization.xlsx]Ionic strength'!$D$17:$I$17</c:f>
                <c:numCache>
                  <c:formatCode>General</c:formatCode>
                  <c:ptCount val="6"/>
                  <c:pt idx="0">
                    <c:v>2.6307346807828038</c:v>
                  </c:pt>
                  <c:pt idx="1">
                    <c:v>1.1051093035078801</c:v>
                  </c:pt>
                  <c:pt idx="2">
                    <c:v>0.63396027883730111</c:v>
                  </c:pt>
                  <c:pt idx="3">
                    <c:v>0.64694826392323668</c:v>
                  </c:pt>
                  <c:pt idx="4">
                    <c:v>0.98045613233710727</c:v>
                  </c:pt>
                  <c:pt idx="5">
                    <c:v>1.1440221823519816</c:v>
                  </c:pt>
                </c:numCache>
              </c:numRef>
            </c:plus>
            <c:minus>
              <c:numRef>
                <c:f>'C:\Users\malvi\OneDrive\Desktop\Sharda\PhD\Experimental\Diphenhydramine\[D.Optimization.xlsx]Ionic strength'!$D$17:$I$17</c:f>
                <c:numCache>
                  <c:formatCode>General</c:formatCode>
                  <c:ptCount val="6"/>
                  <c:pt idx="0">
                    <c:v>2.6307346807828038</c:v>
                  </c:pt>
                  <c:pt idx="1">
                    <c:v>1.1051093035078801</c:v>
                  </c:pt>
                  <c:pt idx="2">
                    <c:v>0.63396027883730111</c:v>
                  </c:pt>
                  <c:pt idx="3">
                    <c:v>0.64694826392323668</c:v>
                  </c:pt>
                  <c:pt idx="4">
                    <c:v>0.98045613233710727</c:v>
                  </c:pt>
                  <c:pt idx="5">
                    <c:v>1.1440221823519816</c:v>
                  </c:pt>
                </c:numCache>
              </c:numRef>
            </c:minus>
            <c:spPr>
              <a:noFill/>
              <a:ln w="9525" cap="flat" cmpd="sng" algn="ctr">
                <a:solidFill>
                  <a:schemeClr val="tx1">
                    <a:lumMod val="65000"/>
                    <a:lumOff val="35000"/>
                  </a:schemeClr>
                </a:solidFill>
                <a:round/>
              </a:ln>
              <a:effectLst/>
            </c:spPr>
          </c:errBars>
          <c:cat>
            <c:numRef>
              <c:f>'C:\Users\malvi\OneDrive\Desktop\Sharda\PhD\Experimental\Diphenhydramine\[D.Optimization.xlsx]Ionic strength'!$D$13:$I$13</c:f>
              <c:numCache>
                <c:formatCode>General</c:formatCode>
                <c:ptCount val="6"/>
                <c:pt idx="0">
                  <c:v>0</c:v>
                </c:pt>
                <c:pt idx="1">
                  <c:v>0.02</c:v>
                </c:pt>
                <c:pt idx="2">
                  <c:v>0.04</c:v>
                </c:pt>
                <c:pt idx="3">
                  <c:v>0.06</c:v>
                </c:pt>
                <c:pt idx="4">
                  <c:v>0.08</c:v>
                </c:pt>
                <c:pt idx="5">
                  <c:v>0.1</c:v>
                </c:pt>
              </c:numCache>
            </c:numRef>
          </c:cat>
          <c:val>
            <c:numRef>
              <c:f>'C:\Users\malvi\OneDrive\Desktop\Sharda\PhD\Experimental\Diphenhydramine\[D.Optimization.xlsx]Ionic strength'!$D$14:$I$14</c:f>
              <c:numCache>
                <c:formatCode>General</c:formatCode>
                <c:ptCount val="6"/>
                <c:pt idx="0">
                  <c:v>31170</c:v>
                </c:pt>
                <c:pt idx="1">
                  <c:v>31472</c:v>
                </c:pt>
                <c:pt idx="2">
                  <c:v>30412</c:v>
                </c:pt>
                <c:pt idx="3">
                  <c:v>30327</c:v>
                </c:pt>
                <c:pt idx="4">
                  <c:v>30649</c:v>
                </c:pt>
                <c:pt idx="5">
                  <c:v>30655</c:v>
                </c:pt>
              </c:numCache>
            </c:numRef>
          </c:val>
          <c:smooth val="0"/>
          <c:extLst>
            <c:ext xmlns:c16="http://schemas.microsoft.com/office/drawing/2014/chart" uri="{C3380CC4-5D6E-409C-BE32-E72D297353CC}">
              <c16:uniqueId val="{00000000-02E1-420F-948E-990D3D6B36FE}"/>
            </c:ext>
          </c:extLst>
        </c:ser>
        <c:dLbls>
          <c:showLegendKey val="0"/>
          <c:showVal val="0"/>
          <c:showCatName val="0"/>
          <c:showSerName val="0"/>
          <c:showPercent val="0"/>
          <c:showBubbleSize val="0"/>
        </c:dLbls>
        <c:smooth val="0"/>
        <c:axId val="357382368"/>
        <c:axId val="357382848"/>
      </c:lineChart>
      <c:catAx>
        <c:axId val="357382368"/>
        <c:scaling>
          <c:orientation val="minMax"/>
        </c:scaling>
        <c:delete val="0"/>
        <c:axPos val="b"/>
        <c:numFmt formatCode="General" sourceLinked="1"/>
        <c:majorTickMark val="none"/>
        <c:minorTickMark val="none"/>
        <c:tickLblPos val="nextTo"/>
        <c:spPr>
          <a:noFill/>
          <a:ln w="9525" cap="flat" cmpd="sng" algn="ctr">
            <a:solidFill>
              <a:schemeClr val="dk1">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dk1"/>
                </a:solidFill>
                <a:latin typeface="Arial" panose="020B0604020202020204" pitchFamily="34" charset="0"/>
                <a:ea typeface="+mn-ea"/>
                <a:cs typeface="Arial" panose="020B0604020202020204" pitchFamily="34" charset="0"/>
              </a:defRPr>
            </a:pPr>
            <a:endParaRPr lang="en-US"/>
          </a:p>
        </c:txPr>
        <c:crossAx val="357382848"/>
        <c:crosses val="autoZero"/>
        <c:auto val="1"/>
        <c:lblAlgn val="ctr"/>
        <c:lblOffset val="100"/>
        <c:noMultiLvlLbl val="0"/>
      </c:catAx>
      <c:valAx>
        <c:axId val="357382848"/>
        <c:scaling>
          <c:orientation val="minMax"/>
          <c:min val="0"/>
        </c:scaling>
        <c:delete val="0"/>
        <c:axPos val="l"/>
        <c:numFmt formatCode="General" sourceLinked="1"/>
        <c:majorTickMark val="none"/>
        <c:minorTickMark val="none"/>
        <c:tickLblPos val="nextTo"/>
        <c:spPr>
          <a:noFill/>
          <a:ln w="9525" cap="flat" cmpd="sng" algn="ctr">
            <a:solidFill>
              <a:schemeClr val="dk1">
                <a:shade val="95000"/>
                <a:satMod val="105000"/>
              </a:schemeClr>
            </a:solidFill>
            <a:prstDash val="solid"/>
          </a:ln>
          <a:effectLst/>
        </c:spPr>
        <c:txPr>
          <a:bodyPr rot="-60000000" spcFirstLastPara="1" vertOverflow="ellipsis" vert="horz" wrap="square" anchor="ctr" anchorCtr="1"/>
          <a:lstStyle/>
          <a:p>
            <a:pPr>
              <a:defRPr sz="1000" b="0" i="0" u="none" strike="noStrike" kern="1200" baseline="0">
                <a:solidFill>
                  <a:schemeClr val="dk1"/>
                </a:solidFill>
                <a:latin typeface="Arial" panose="020B0604020202020204" pitchFamily="34" charset="0"/>
                <a:ea typeface="+mn-ea"/>
                <a:cs typeface="Arial" panose="020B0604020202020204" pitchFamily="34" charset="0"/>
              </a:defRPr>
            </a:pPr>
            <a:endParaRPr lang="en-US"/>
          </a:p>
        </c:txPr>
        <c:crossAx val="3573823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3175" cap="flat" cmpd="sng" algn="ctr">
      <a:solidFill>
        <a:schemeClr val="dk1"/>
      </a:solidFill>
      <a:prstDash val="solid"/>
      <a:round/>
      <a:headEnd type="none" w="med" len="med"/>
      <a:tailEnd type="none" w="med" len="med"/>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IN" sz="1100"/>
              <a:t>Ultrasonication time</a:t>
            </a:r>
          </a:p>
        </c:rich>
      </c:tx>
      <c:overlay val="0"/>
    </c:title>
    <c:autoTitleDeleted val="0"/>
    <c:plotArea>
      <c:layout/>
      <c:barChart>
        <c:barDir val="col"/>
        <c:grouping val="clustered"/>
        <c:varyColors val="0"/>
        <c:ser>
          <c:idx val="0"/>
          <c:order val="0"/>
          <c:invertIfNegative val="0"/>
          <c:dPt>
            <c:idx val="0"/>
            <c:invertIfNegative val="0"/>
            <c:bubble3D val="0"/>
            <c:spPr>
              <a:solidFill>
                <a:srgbClr val="EE0000"/>
              </a:solidFill>
            </c:spPr>
            <c:extLst>
              <c:ext xmlns:c16="http://schemas.microsoft.com/office/drawing/2014/chart" uri="{C3380CC4-5D6E-409C-BE32-E72D297353CC}">
                <c16:uniqueId val="{00000001-BE7D-4A5C-AC91-30035FE5CDA5}"/>
              </c:ext>
            </c:extLst>
          </c:dPt>
          <c:errBars>
            <c:errBarType val="both"/>
            <c:errValType val="cust"/>
            <c:noEndCap val="0"/>
            <c:plus>
              <c:numRef>
                <c:f>'Extraction mode'!$E$12</c:f>
                <c:numCache>
                  <c:formatCode>General</c:formatCode>
                  <c:ptCount val="1"/>
                  <c:pt idx="0">
                    <c:v>247.3</c:v>
                  </c:pt>
                </c:numCache>
              </c:numRef>
            </c:plus>
            <c:minus>
              <c:numRef>
                <c:f>'Extraction mode'!$C$12:$E$12</c:f>
                <c:numCache>
                  <c:formatCode>General</c:formatCode>
                  <c:ptCount val="3"/>
                  <c:pt idx="0">
                    <c:v>23.26</c:v>
                  </c:pt>
                  <c:pt idx="1">
                    <c:v>196.6</c:v>
                  </c:pt>
                  <c:pt idx="2">
                    <c:v>247.3</c:v>
                  </c:pt>
                </c:numCache>
              </c:numRef>
            </c:minus>
          </c:errBars>
          <c:cat>
            <c:strRef>
              <c:f>'Extraction mode'!$C$9:$E$9</c:f>
              <c:strCache>
                <c:ptCount val="3"/>
                <c:pt idx="0">
                  <c:v>1 min</c:v>
                </c:pt>
                <c:pt idx="1">
                  <c:v>3 min</c:v>
                </c:pt>
                <c:pt idx="2">
                  <c:v>5 min</c:v>
                </c:pt>
              </c:strCache>
            </c:strRef>
          </c:cat>
          <c:val>
            <c:numRef>
              <c:f>'Extraction mode'!$C$10:$E$10</c:f>
              <c:numCache>
                <c:formatCode>General</c:formatCode>
                <c:ptCount val="3"/>
                <c:pt idx="0">
                  <c:v>12577</c:v>
                </c:pt>
                <c:pt idx="1">
                  <c:v>8018</c:v>
                </c:pt>
                <c:pt idx="2">
                  <c:v>8497</c:v>
                </c:pt>
              </c:numCache>
            </c:numRef>
          </c:val>
          <c:extLst>
            <c:ext xmlns:c16="http://schemas.microsoft.com/office/drawing/2014/chart" uri="{C3380CC4-5D6E-409C-BE32-E72D297353CC}">
              <c16:uniqueId val="{00000002-BE7D-4A5C-AC91-30035FE5CDA5}"/>
            </c:ext>
          </c:extLst>
        </c:ser>
        <c:dLbls>
          <c:showLegendKey val="0"/>
          <c:showVal val="0"/>
          <c:showCatName val="0"/>
          <c:showSerName val="0"/>
          <c:showPercent val="0"/>
          <c:showBubbleSize val="0"/>
        </c:dLbls>
        <c:gapWidth val="150"/>
        <c:axId val="146674048"/>
        <c:axId val="146675584"/>
      </c:barChart>
      <c:catAx>
        <c:axId val="146674048"/>
        <c:scaling>
          <c:orientation val="minMax"/>
        </c:scaling>
        <c:delete val="0"/>
        <c:axPos val="b"/>
        <c:numFmt formatCode="General" sourceLinked="0"/>
        <c:majorTickMark val="out"/>
        <c:minorTickMark val="none"/>
        <c:tickLblPos val="nextTo"/>
        <c:crossAx val="146675584"/>
        <c:crosses val="autoZero"/>
        <c:auto val="1"/>
        <c:lblAlgn val="ctr"/>
        <c:lblOffset val="100"/>
        <c:noMultiLvlLbl val="0"/>
      </c:catAx>
      <c:valAx>
        <c:axId val="146675584"/>
        <c:scaling>
          <c:orientation val="minMax"/>
        </c:scaling>
        <c:delete val="0"/>
        <c:axPos val="l"/>
        <c:numFmt formatCode="General" sourceLinked="1"/>
        <c:majorTickMark val="out"/>
        <c:minorTickMark val="none"/>
        <c:tickLblPos val="nextTo"/>
        <c:crossAx val="146674048"/>
        <c:crosses val="autoZero"/>
        <c:crossBetween val="between"/>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n-IN"/>
              <a:t>(a) Blood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trendline>
            <c:spPr>
              <a:ln w="19050" cap="rnd">
                <a:solidFill>
                  <a:schemeClr val="accent1"/>
                </a:solidFill>
                <a:prstDash val="sysDot"/>
              </a:ln>
              <a:effectLst/>
            </c:spPr>
            <c:trendlineType val="linear"/>
            <c:intercept val="0"/>
            <c:dispRSqr val="0"/>
            <c:dispEq val="0"/>
          </c:trendline>
          <c:errBars>
            <c:errDir val="y"/>
            <c:errBarType val="both"/>
            <c:errValType val="cust"/>
            <c:noEndCap val="0"/>
            <c:plus>
              <c:numRef>
                <c:f>Linearity.U!$C$19:$H$19</c:f>
                <c:numCache>
                  <c:formatCode>General</c:formatCode>
                  <c:ptCount val="6"/>
                  <c:pt idx="0">
                    <c:v>73.56</c:v>
                  </c:pt>
                  <c:pt idx="1">
                    <c:v>43.79</c:v>
                  </c:pt>
                  <c:pt idx="2">
                    <c:v>68.27</c:v>
                  </c:pt>
                  <c:pt idx="3">
                    <c:v>33.24</c:v>
                  </c:pt>
                  <c:pt idx="4">
                    <c:v>127.3</c:v>
                  </c:pt>
                  <c:pt idx="5">
                    <c:v>34.58</c:v>
                  </c:pt>
                </c:numCache>
              </c:numRef>
            </c:plus>
            <c:minus>
              <c:numRef>
                <c:f>Linearity.U!$C$19:$H$19</c:f>
                <c:numCache>
                  <c:formatCode>General</c:formatCode>
                  <c:ptCount val="6"/>
                  <c:pt idx="0">
                    <c:v>73.56</c:v>
                  </c:pt>
                  <c:pt idx="1">
                    <c:v>43.79</c:v>
                  </c:pt>
                  <c:pt idx="2">
                    <c:v>68.27</c:v>
                  </c:pt>
                  <c:pt idx="3">
                    <c:v>33.24</c:v>
                  </c:pt>
                  <c:pt idx="4">
                    <c:v>127.3</c:v>
                  </c:pt>
                  <c:pt idx="5">
                    <c:v>34.58</c:v>
                  </c:pt>
                </c:numCache>
              </c:numRef>
            </c:minus>
            <c:spPr>
              <a:noFill/>
              <a:ln w="9525" cap="flat" cmpd="sng" algn="ctr">
                <a:solidFill>
                  <a:schemeClr val="tx1">
                    <a:lumMod val="65000"/>
                    <a:lumOff val="35000"/>
                  </a:schemeClr>
                </a:solidFill>
                <a:round/>
              </a:ln>
              <a:effectLst/>
            </c:spPr>
          </c:errBars>
          <c:cat>
            <c:strRef>
              <c:f>Linearity.U!$C$16:$G$16</c:f>
              <c:strCache>
                <c:ptCount val="5"/>
                <c:pt idx="0">
                  <c:v>1 mg/ml</c:v>
                </c:pt>
                <c:pt idx="1">
                  <c:v>2 mg/ml</c:v>
                </c:pt>
                <c:pt idx="2">
                  <c:v>4 mg/ml</c:v>
                </c:pt>
                <c:pt idx="3">
                  <c:v>6 mg/ml</c:v>
                </c:pt>
                <c:pt idx="4">
                  <c:v>8 mg/ml</c:v>
                </c:pt>
              </c:strCache>
            </c:strRef>
          </c:cat>
          <c:val>
            <c:numRef>
              <c:f>Linearity.U!$C$17:$G$17</c:f>
              <c:numCache>
                <c:formatCode>General</c:formatCode>
                <c:ptCount val="5"/>
                <c:pt idx="0">
                  <c:v>2483</c:v>
                </c:pt>
                <c:pt idx="1">
                  <c:v>4672</c:v>
                </c:pt>
                <c:pt idx="2">
                  <c:v>5724</c:v>
                </c:pt>
                <c:pt idx="3">
                  <c:v>8982</c:v>
                </c:pt>
                <c:pt idx="4">
                  <c:v>11581</c:v>
                </c:pt>
              </c:numCache>
            </c:numRef>
          </c:val>
          <c:smooth val="0"/>
          <c:extLst>
            <c:ext xmlns:c16="http://schemas.microsoft.com/office/drawing/2014/chart" uri="{C3380CC4-5D6E-409C-BE32-E72D297353CC}">
              <c16:uniqueId val="{00000001-AE2A-4D9B-B3CE-A011178E9EC0}"/>
            </c:ext>
          </c:extLst>
        </c:ser>
        <c:dLbls>
          <c:showLegendKey val="0"/>
          <c:showVal val="0"/>
          <c:showCatName val="0"/>
          <c:showSerName val="0"/>
          <c:showPercent val="0"/>
          <c:showBubbleSize val="0"/>
        </c:dLbls>
        <c:smooth val="0"/>
        <c:axId val="696372992"/>
        <c:axId val="696375872"/>
      </c:lineChart>
      <c:catAx>
        <c:axId val="696372992"/>
        <c:scaling>
          <c:orientation val="minMax"/>
        </c:scaling>
        <c:delete val="0"/>
        <c:axPos val="b"/>
        <c:numFmt formatCode="General" sourceLinked="1"/>
        <c:majorTickMark val="none"/>
        <c:minorTickMark val="none"/>
        <c:tickLblPos val="nextTo"/>
        <c:spPr>
          <a:noFill/>
          <a:ln w="9525" cap="flat" cmpd="sng" algn="ctr">
            <a:solidFill>
              <a:schemeClr val="dk1">
                <a:shade val="95000"/>
                <a:satMod val="10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696375872"/>
        <c:crosses val="autoZero"/>
        <c:auto val="1"/>
        <c:lblAlgn val="ctr"/>
        <c:lblOffset val="100"/>
        <c:noMultiLvlLbl val="0"/>
      </c:catAx>
      <c:valAx>
        <c:axId val="696375872"/>
        <c:scaling>
          <c:orientation val="minMax"/>
        </c:scaling>
        <c:delete val="0"/>
        <c:axPos val="l"/>
        <c:numFmt formatCode="General" sourceLinked="1"/>
        <c:majorTickMark val="none"/>
        <c:minorTickMark val="none"/>
        <c:tickLblPos val="nextTo"/>
        <c:spPr>
          <a:noFill/>
          <a:ln w="9525" cap="flat" cmpd="sng" algn="ctr">
            <a:solidFill>
              <a:schemeClr val="dk1">
                <a:shade val="95000"/>
                <a:satMod val="105000"/>
              </a:schemeClr>
            </a:solidFill>
            <a:prstDash val="soli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69637299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25400" cap="flat" cmpd="sng" algn="ctr">
      <a:solidFill>
        <a:schemeClr val="dk1"/>
      </a:solidFill>
      <a:prstDash val="solid"/>
      <a:round/>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n-IN"/>
              <a:t>(b) Urine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trendline>
            <c:spPr>
              <a:ln w="19050" cap="rnd">
                <a:solidFill>
                  <a:schemeClr val="accent1"/>
                </a:solidFill>
                <a:prstDash val="sysDot"/>
              </a:ln>
              <a:effectLst/>
            </c:spPr>
            <c:trendlineType val="linear"/>
            <c:intercept val="0"/>
            <c:dispRSqr val="0"/>
            <c:dispEq val="0"/>
          </c:trendline>
          <c:errBars>
            <c:errDir val="y"/>
            <c:errBarType val="both"/>
            <c:errValType val="cust"/>
            <c:noEndCap val="0"/>
            <c:plus>
              <c:numRef>
                <c:f>Linearity.U!$E$19:$I$19</c:f>
                <c:numCache>
                  <c:formatCode>General</c:formatCode>
                  <c:ptCount val="5"/>
                  <c:pt idx="0">
                    <c:v>76.81</c:v>
                  </c:pt>
                  <c:pt idx="1">
                    <c:v>45.71</c:v>
                  </c:pt>
                  <c:pt idx="2">
                    <c:v>108.2</c:v>
                  </c:pt>
                  <c:pt idx="3">
                    <c:v>18.48</c:v>
                  </c:pt>
                  <c:pt idx="4">
                    <c:v>120.2</c:v>
                  </c:pt>
                </c:numCache>
              </c:numRef>
            </c:plus>
            <c:minus>
              <c:numRef>
                <c:f>Linearity.U!$E$19:$I$19</c:f>
                <c:numCache>
                  <c:formatCode>General</c:formatCode>
                  <c:ptCount val="5"/>
                  <c:pt idx="0">
                    <c:v>76.81</c:v>
                  </c:pt>
                  <c:pt idx="1">
                    <c:v>45.71</c:v>
                  </c:pt>
                  <c:pt idx="2">
                    <c:v>108.2</c:v>
                  </c:pt>
                  <c:pt idx="3">
                    <c:v>18.48</c:v>
                  </c:pt>
                  <c:pt idx="4">
                    <c:v>120.2</c:v>
                  </c:pt>
                </c:numCache>
              </c:numRef>
            </c:minus>
            <c:spPr>
              <a:noFill/>
              <a:ln w="9525" cap="flat" cmpd="sng" algn="ctr">
                <a:solidFill>
                  <a:schemeClr val="tx1">
                    <a:lumMod val="65000"/>
                    <a:lumOff val="35000"/>
                  </a:schemeClr>
                </a:solidFill>
                <a:round/>
              </a:ln>
              <a:effectLst/>
            </c:spPr>
          </c:errBars>
          <c:cat>
            <c:strRef>
              <c:f>Linearity.U!$E$16:$I$16</c:f>
              <c:strCache>
                <c:ptCount val="5"/>
                <c:pt idx="0">
                  <c:v>1 mg/ml</c:v>
                </c:pt>
                <c:pt idx="1">
                  <c:v>2 mg/ml</c:v>
                </c:pt>
                <c:pt idx="2">
                  <c:v>4 mg/ml</c:v>
                </c:pt>
                <c:pt idx="3">
                  <c:v>6 mg/ml</c:v>
                </c:pt>
                <c:pt idx="4">
                  <c:v>8 mg/ml</c:v>
                </c:pt>
              </c:strCache>
            </c:strRef>
          </c:cat>
          <c:val>
            <c:numRef>
              <c:f>Linearity.U!$E$17:$I$17</c:f>
              <c:numCache>
                <c:formatCode>General</c:formatCode>
                <c:ptCount val="5"/>
                <c:pt idx="0">
                  <c:v>3260</c:v>
                </c:pt>
                <c:pt idx="1">
                  <c:v>7471</c:v>
                </c:pt>
                <c:pt idx="2">
                  <c:v>13094</c:v>
                </c:pt>
                <c:pt idx="3">
                  <c:v>19359</c:v>
                </c:pt>
                <c:pt idx="4">
                  <c:v>24094</c:v>
                </c:pt>
              </c:numCache>
            </c:numRef>
          </c:val>
          <c:smooth val="0"/>
          <c:extLst>
            <c:ext xmlns:c16="http://schemas.microsoft.com/office/drawing/2014/chart" uri="{C3380CC4-5D6E-409C-BE32-E72D297353CC}">
              <c16:uniqueId val="{00000001-37A5-4A01-9553-A757773C6D89}"/>
            </c:ext>
          </c:extLst>
        </c:ser>
        <c:dLbls>
          <c:showLegendKey val="0"/>
          <c:showVal val="0"/>
          <c:showCatName val="0"/>
          <c:showSerName val="0"/>
          <c:showPercent val="0"/>
          <c:showBubbleSize val="0"/>
        </c:dLbls>
        <c:smooth val="0"/>
        <c:axId val="1708736576"/>
        <c:axId val="1708740896"/>
      </c:lineChart>
      <c:catAx>
        <c:axId val="1708736576"/>
        <c:scaling>
          <c:orientation val="minMax"/>
        </c:scaling>
        <c:delete val="0"/>
        <c:axPos val="b"/>
        <c:numFmt formatCode="General" sourceLinked="1"/>
        <c:majorTickMark val="none"/>
        <c:minorTickMark val="none"/>
        <c:tickLblPos val="nextTo"/>
        <c:spPr>
          <a:noFill/>
          <a:ln w="9525" cap="flat" cmpd="sng" algn="ctr">
            <a:solidFill>
              <a:schemeClr val="dk1">
                <a:shade val="95000"/>
                <a:satMod val="10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708740896"/>
        <c:crosses val="autoZero"/>
        <c:auto val="1"/>
        <c:lblAlgn val="ctr"/>
        <c:lblOffset val="100"/>
        <c:noMultiLvlLbl val="0"/>
      </c:catAx>
      <c:valAx>
        <c:axId val="1708740896"/>
        <c:scaling>
          <c:orientation val="minMax"/>
        </c:scaling>
        <c:delete val="0"/>
        <c:axPos val="l"/>
        <c:numFmt formatCode="General" sourceLinked="1"/>
        <c:majorTickMark val="none"/>
        <c:minorTickMark val="none"/>
        <c:tickLblPos val="nextTo"/>
        <c:spPr>
          <a:noFill/>
          <a:ln w="9525" cap="flat" cmpd="sng" algn="ctr">
            <a:solidFill>
              <a:schemeClr val="dk1">
                <a:shade val="95000"/>
                <a:satMod val="105000"/>
              </a:schemeClr>
            </a:solidFill>
            <a:prstDash val="soli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708736576"/>
        <c:crosses val="autoZero"/>
        <c:crossBetween val="between"/>
      </c:valAx>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25400" cap="flat" cmpd="sng" algn="ctr">
      <a:solidFill>
        <a:schemeClr val="dk1"/>
      </a:solidFill>
      <a:prstDash val="solid"/>
      <a:round/>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38366-7050-4511-BB36-37B6670D2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21018</Words>
  <Characters>119805</Characters>
  <Application>Microsoft Office Word</Application>
  <DocSecurity>0</DocSecurity>
  <Lines>998</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malviyamahak@gmail.com</dc:creator>
  <cp:keywords/>
  <dc:description/>
  <cp:lastModifiedBy>Kamlesh Sharda</cp:lastModifiedBy>
  <cp:revision>2</cp:revision>
  <dcterms:created xsi:type="dcterms:W3CDTF">2026-06-30T11:04:00Z</dcterms:created>
  <dcterms:modified xsi:type="dcterms:W3CDTF">2026-06-30T11:04:00Z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id="2biLbRZT"/&gt;&lt;style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GrammarlyDocumentId">
    <vt:lpwstr>97ac57eab520c0804ff7485ce7b3478bf3ab37c6163273974cb4897db815ba82</vt:lpwstr>
  </property>
</Properties>
</file>